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6B264" w14:textId="77777777" w:rsidR="00E002EC" w:rsidRPr="002E5742" w:rsidRDefault="00E002EC" w:rsidP="00E002EC">
      <w:pPr>
        <w:rPr>
          <w:rFonts w:cs="Arial"/>
          <w:lang w:val="en-GB"/>
        </w:rPr>
      </w:pPr>
      <w:r>
        <w:rPr>
          <w:rFonts w:cs="Arial"/>
          <w:noProof/>
          <w:lang w:val="en-GB" w:eastAsia="en-GB"/>
        </w:rPr>
        <mc:AlternateContent>
          <mc:Choice Requires="wps">
            <w:drawing>
              <wp:anchor distT="0" distB="0" distL="114300" distR="114300" simplePos="0" relativeHeight="251658242" behindDoc="1" locked="0" layoutInCell="1" allowOverlap="1" wp14:anchorId="11F84624" wp14:editId="7CA79A68">
                <wp:simplePos x="0" y="0"/>
                <wp:positionH relativeFrom="column">
                  <wp:posOffset>-990600</wp:posOffset>
                </wp:positionH>
                <wp:positionV relativeFrom="paragraph">
                  <wp:posOffset>270510</wp:posOffset>
                </wp:positionV>
                <wp:extent cx="8014335" cy="1059815"/>
                <wp:effectExtent l="5715" t="7620" r="9525" b="889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14335" cy="1059815"/>
                        </a:xfrm>
                        <a:prstGeom prst="rect">
                          <a:avLst/>
                        </a:prstGeom>
                        <a:solidFill>
                          <a:srgbClr val="4D4D4D"/>
                        </a:solidFill>
                        <a:ln w="9525">
                          <a:solidFill>
                            <a:srgbClr val="4D4D4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1488A6" id="Rectangle 6" o:spid="_x0000_s1026" style="position:absolute;margin-left:-78pt;margin-top:21.3pt;width:631.05pt;height:83.45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" fillcolor="#4d4d4d" strokecolor="#4d4d4d"/>
            </w:pict>
          </mc:Fallback>
        </mc:AlternateContent>
      </w:r>
    </w:p>
    <w:p w14:paraId="44A690F3" w14:textId="77777777" w:rsidR="00E002EC" w:rsidRPr="002E5742" w:rsidRDefault="00E002EC" w:rsidP="00E002EC">
      <w:pPr>
        <w:ind w:left="-284"/>
        <w:rPr>
          <w:rFonts w:cs="Arial"/>
          <w:lang w:val="en-GB"/>
        </w:rPr>
      </w:pPr>
      <w:r w:rsidRPr="002E5742">
        <w:rPr>
          <w:rFonts w:cs="Arial"/>
          <w:noProof/>
          <w:lang w:val="en-GB" w:eastAsia="en-GB"/>
        </w:rPr>
        <w:drawing>
          <wp:anchor distT="0" distB="0" distL="114300" distR="114300" simplePos="0" relativeHeight="251658243" behindDoc="0" locked="0" layoutInCell="1" allowOverlap="1" wp14:anchorId="44DB84FD" wp14:editId="3489A578">
            <wp:simplePos x="0" y="0"/>
            <wp:positionH relativeFrom="column">
              <wp:posOffset>-177165</wp:posOffset>
            </wp:positionH>
            <wp:positionV relativeFrom="paragraph">
              <wp:posOffset>148590</wp:posOffset>
            </wp:positionV>
            <wp:extent cx="3915623" cy="695325"/>
            <wp:effectExtent l="0" t="0" r="0" b="0"/>
            <wp:wrapNone/>
            <wp:docPr id="3" name="Picture 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3915623" cy="695325"/>
                    </a:xfrm>
                    <a:prstGeom prst="rect">
                      <a:avLst/>
                    </a:prstGeom>
                  </pic:spPr>
                </pic:pic>
              </a:graphicData>
            </a:graphic>
            <wp14:sizeRelH relativeFrom="margin">
              <wp14:pctWidth>0</wp14:pctWidth>
            </wp14:sizeRelH>
            <wp14:sizeRelV relativeFrom="margin">
              <wp14:pctHeight>0</wp14:pctHeight>
            </wp14:sizeRelV>
          </wp:anchor>
        </w:drawing>
      </w:r>
    </w:p>
    <w:p w14:paraId="4513A653" w14:textId="77777777" w:rsidR="00E002EC" w:rsidRPr="002E5742" w:rsidRDefault="00E002EC" w:rsidP="00E002EC">
      <w:pPr>
        <w:ind w:left="-284"/>
        <w:rPr>
          <w:rFonts w:cs="Arial"/>
          <w:lang w:val="en-GB"/>
        </w:rPr>
      </w:pPr>
    </w:p>
    <w:p w14:paraId="1DE09526" w14:textId="77777777" w:rsidR="00E002EC" w:rsidRPr="002E5742" w:rsidRDefault="00E002EC" w:rsidP="00E002EC">
      <w:pPr>
        <w:rPr>
          <w:rFonts w:cs="Arial"/>
          <w:lang w:val="en-GB"/>
        </w:rPr>
      </w:pPr>
    </w:p>
    <w:p w14:paraId="4BC681DC" w14:textId="77777777" w:rsidR="00E002EC" w:rsidRPr="002E5742" w:rsidRDefault="00E002EC" w:rsidP="00E002EC">
      <w:pPr>
        <w:rPr>
          <w:rFonts w:cs="Arial"/>
          <w:lang w:val="en-GB"/>
        </w:rPr>
      </w:pPr>
    </w:p>
    <w:p w14:paraId="1970B176" w14:textId="77777777" w:rsidR="00E002EC" w:rsidRPr="002E5742" w:rsidRDefault="00E002EC" w:rsidP="00E002EC">
      <w:pPr>
        <w:rPr>
          <w:rFonts w:cs="Arial"/>
          <w:lang w:val="en-GB"/>
        </w:rPr>
      </w:pPr>
    </w:p>
    <w:p w14:paraId="1354BBDC" w14:textId="77777777" w:rsidR="00E002EC" w:rsidRPr="002E5742" w:rsidRDefault="00E002EC" w:rsidP="00E002EC">
      <w:pPr>
        <w:rPr>
          <w:rFonts w:cs="Arial"/>
          <w:lang w:val="en-GB"/>
        </w:rPr>
      </w:pPr>
    </w:p>
    <w:p w14:paraId="34B79F0B" w14:textId="77777777" w:rsidR="00E002EC" w:rsidRPr="002E5742" w:rsidRDefault="00E002EC" w:rsidP="00E002EC">
      <w:pPr>
        <w:rPr>
          <w:rFonts w:cs="Arial"/>
          <w:lang w:val="en-GB"/>
        </w:rPr>
      </w:pPr>
    </w:p>
    <w:p w14:paraId="035D44B6" w14:textId="77777777" w:rsidR="00E002EC" w:rsidRPr="002E5742" w:rsidRDefault="00E002EC" w:rsidP="00E002EC">
      <w:pPr>
        <w:rPr>
          <w:rFonts w:cs="Arial"/>
          <w:lang w:val="en-GB"/>
        </w:rPr>
      </w:pPr>
      <w:r>
        <w:rPr>
          <w:rFonts w:cs="Arial"/>
          <w:noProof/>
          <w:lang w:val="en-GB" w:eastAsia="en-GB"/>
        </w:rPr>
        <mc:AlternateContent>
          <mc:Choice Requires="wps">
            <w:drawing>
              <wp:anchor distT="0" distB="0" distL="114300" distR="114300" simplePos="0" relativeHeight="251658240" behindDoc="0" locked="0" layoutInCell="1" allowOverlap="1" wp14:anchorId="1F9DB1FB" wp14:editId="7FC1A54C">
                <wp:simplePos x="0" y="0"/>
                <wp:positionH relativeFrom="column">
                  <wp:posOffset>231140</wp:posOffset>
                </wp:positionH>
                <wp:positionV relativeFrom="paragraph">
                  <wp:posOffset>189865</wp:posOffset>
                </wp:positionV>
                <wp:extent cx="5486400" cy="2844165"/>
                <wp:effectExtent l="0" t="635" r="1270" b="31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28441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33F28E" w14:textId="77777777" w:rsidR="00E002EC" w:rsidRPr="00AD1BB1" w:rsidRDefault="00E002EC" w:rsidP="00E002EC">
                            <w:pPr>
                              <w:pStyle w:val="LWHead1"/>
                            </w:pPr>
                            <w:r>
                              <w:t>Adult Learning</w:t>
                            </w:r>
                          </w:p>
                          <w:p w14:paraId="4BECEAAE" w14:textId="77777777" w:rsidR="00E002EC" w:rsidRPr="00AD1BB1" w:rsidRDefault="00E002EC" w:rsidP="00E002EC">
                            <w:pPr>
                              <w:pStyle w:val="NoSpacing"/>
                              <w:rPr>
                                <w:rFonts w:cs="Arial"/>
                                <w:b/>
                                <w:color w:val="595959" w:themeColor="text1" w:themeTint="A6"/>
                                <w:sz w:val="40"/>
                                <w:szCs w:val="40"/>
                              </w:rPr>
                            </w:pPr>
                          </w:p>
                          <w:p w14:paraId="5AF3FEC9" w14:textId="77777777" w:rsidR="00E002EC" w:rsidRPr="00AD1BB1" w:rsidRDefault="00E002EC" w:rsidP="00E002EC">
                            <w:pPr>
                              <w:pStyle w:val="LWHead1A"/>
                            </w:pPr>
                            <w:r>
                              <w:t>A study into delivery opportunities and challenges</w:t>
                            </w:r>
                          </w:p>
                          <w:p w14:paraId="5D823C3C" w14:textId="77777777" w:rsidR="00E002EC" w:rsidRPr="00AD1BB1" w:rsidRDefault="00E002EC" w:rsidP="00E002EC">
                            <w:pPr>
                              <w:pStyle w:val="NoSpacing"/>
                              <w:rPr>
                                <w:rFonts w:cs="Arial"/>
                                <w:color w:val="595959" w:themeColor="text1" w:themeTint="A6"/>
                                <w:sz w:val="40"/>
                                <w:szCs w:val="40"/>
                              </w:rPr>
                            </w:pPr>
                          </w:p>
                          <w:p w14:paraId="684DB41E" w14:textId="77777777" w:rsidR="00E002EC" w:rsidRDefault="00E002EC" w:rsidP="00E002EC">
                            <w:pPr>
                              <w:pStyle w:val="LWHead1B"/>
                            </w:pPr>
                            <w:r>
                              <w:t>April 2023</w:t>
                            </w:r>
                          </w:p>
                          <w:p w14:paraId="0803D970" w14:textId="77777777" w:rsidR="00E002EC" w:rsidRPr="0025448B" w:rsidRDefault="00E002EC" w:rsidP="00E002EC">
                            <w:pPr>
                              <w:pStyle w:val="NoSpacing"/>
                              <w:rPr>
                                <w:rFonts w:cs="Arial"/>
                                <w:color w:val="595959" w:themeColor="text1" w:themeTint="A6"/>
                                <w:szCs w:val="24"/>
                              </w:rPr>
                            </w:pPr>
                          </w:p>
                          <w:p w14:paraId="16B95ECE" w14:textId="77777777" w:rsidR="00E002EC" w:rsidRDefault="00E002EC" w:rsidP="00E002EC">
                            <w:pPr>
                              <w:pStyle w:val="NoSpacing"/>
                              <w:rPr>
                                <w:rFonts w:cs="Arial"/>
                                <w:color w:val="595959" w:themeColor="text1" w:themeTint="A6"/>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F9DB1FB" id="_x0000_t202" coordsize="21600,21600" o:spt="202" path="m,l,21600r21600,l21600,xe">
                <v:stroke joinstyle="miter"/>
                <v:path gradientshapeok="t" o:connecttype="rect"/>
              </v:shapetype>
              <v:shape id="Text Box 5" o:spid="_x0000_s1026" type="#_x0000_t202" style="position:absolute;margin-left:18.2pt;margin-top:14.95pt;width:6in;height:223.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" stroked="f">
                <v:textbox>
                  <w:txbxContent>
                    <w:p w14:paraId="0833F28E" w14:textId="77777777" w:rsidR="00E002EC" w:rsidRPr="00AD1BB1" w:rsidRDefault="00E002EC" w:rsidP="00E002EC">
                      <w:pPr>
                        <w:pStyle w:val="LWHead1"/>
                      </w:pPr>
                      <w:r>
                        <w:t>Adult Learning</w:t>
                      </w:r>
                    </w:p>
                    <w:p w14:paraId="4BECEAAE" w14:textId="77777777" w:rsidR="00E002EC" w:rsidRPr="00AD1BB1" w:rsidRDefault="00E002EC" w:rsidP="00E002EC">
                      <w:pPr>
                        <w:pStyle w:val="NoSpacing"/>
                        <w:rPr>
                          <w:rFonts w:cs="Arial"/>
                          <w:b/>
                          <w:color w:val="595959" w:themeColor="text1" w:themeTint="A6"/>
                          <w:sz w:val="40"/>
                          <w:szCs w:val="40"/>
                        </w:rPr>
                      </w:pPr>
                    </w:p>
                    <w:p w14:paraId="5AF3FEC9" w14:textId="77777777" w:rsidR="00E002EC" w:rsidRPr="00AD1BB1" w:rsidRDefault="00E002EC" w:rsidP="00E002EC">
                      <w:pPr>
                        <w:pStyle w:val="LWHead1A"/>
                      </w:pPr>
                      <w:r>
                        <w:t>A study into delivery opportunities and challenges</w:t>
                      </w:r>
                    </w:p>
                    <w:p w14:paraId="5D823C3C" w14:textId="77777777" w:rsidR="00E002EC" w:rsidRPr="00AD1BB1" w:rsidRDefault="00E002EC" w:rsidP="00E002EC">
                      <w:pPr>
                        <w:pStyle w:val="NoSpacing"/>
                        <w:rPr>
                          <w:rFonts w:cs="Arial"/>
                          <w:color w:val="595959" w:themeColor="text1" w:themeTint="A6"/>
                          <w:sz w:val="40"/>
                          <w:szCs w:val="40"/>
                        </w:rPr>
                      </w:pPr>
                    </w:p>
                    <w:p w14:paraId="684DB41E" w14:textId="77777777" w:rsidR="00E002EC" w:rsidRDefault="00E002EC" w:rsidP="00E002EC">
                      <w:pPr>
                        <w:pStyle w:val="LWHead1B"/>
                      </w:pPr>
                      <w:r>
                        <w:t>April 2023</w:t>
                      </w:r>
                    </w:p>
                    <w:p w14:paraId="0803D970" w14:textId="77777777" w:rsidR="00E002EC" w:rsidRPr="0025448B" w:rsidRDefault="00E002EC" w:rsidP="00E002EC">
                      <w:pPr>
                        <w:pStyle w:val="NoSpacing"/>
                        <w:rPr>
                          <w:rFonts w:cs="Arial"/>
                          <w:color w:val="595959" w:themeColor="text1" w:themeTint="A6"/>
                          <w:szCs w:val="24"/>
                        </w:rPr>
                      </w:pPr>
                    </w:p>
                    <w:p w14:paraId="16B95ECE" w14:textId="77777777" w:rsidR="00E002EC" w:rsidRDefault="00E002EC" w:rsidP="00E002EC">
                      <w:pPr>
                        <w:pStyle w:val="NoSpacing"/>
                        <w:rPr>
                          <w:rFonts w:cs="Arial"/>
                          <w:color w:val="595959" w:themeColor="text1" w:themeTint="A6"/>
                          <w:szCs w:val="24"/>
                        </w:rPr>
                      </w:pPr>
                    </w:p>
                  </w:txbxContent>
                </v:textbox>
              </v:shape>
            </w:pict>
          </mc:Fallback>
        </mc:AlternateContent>
      </w:r>
      <w:r>
        <w:rPr>
          <w:rFonts w:cs="Arial"/>
          <w:noProof/>
          <w:lang w:val="en-GB" w:eastAsia="en-GB"/>
        </w:rPr>
        <mc:AlternateContent>
          <mc:Choice Requires="wps">
            <w:drawing>
              <wp:anchor distT="0" distB="0" distL="114300" distR="114300" simplePos="0" relativeHeight="251658241" behindDoc="0" locked="0" layoutInCell="1" allowOverlap="1" wp14:anchorId="42EF60E0" wp14:editId="74644C69">
                <wp:simplePos x="0" y="0"/>
                <wp:positionH relativeFrom="column">
                  <wp:posOffset>52705</wp:posOffset>
                </wp:positionH>
                <wp:positionV relativeFrom="paragraph">
                  <wp:posOffset>237490</wp:posOffset>
                </wp:positionV>
                <wp:extent cx="45085" cy="2856865"/>
                <wp:effectExtent l="1270" t="635" r="127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85" cy="2856865"/>
                        </a:xfrm>
                        <a:prstGeom prst="rect">
                          <a:avLst/>
                        </a:prstGeom>
                        <a:solidFill>
                          <a:srgbClr val="EE7E3B"/>
                        </a:solidFill>
                        <a:ln>
                          <a:noFill/>
                        </a:ln>
                        <a:extLst>
                          <a:ext uri="{91240B29-F687-4F45-9708-019B960494DF}">
                            <a14:hiddenLine xmlns:a14="http://schemas.microsoft.com/office/drawing/2010/main" w="9525">
                              <a:solidFill>
                                <a:srgbClr val="003594"/>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054538" id="Rectangle 4" o:spid="_x0000_s1026" style="position:absolute;margin-left:4.15pt;margin-top:18.7pt;width:3.55pt;height:224.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" fillcolor="#ee7e3b" stroked="f" strokecolor="#003594"/>
            </w:pict>
          </mc:Fallback>
        </mc:AlternateContent>
      </w:r>
    </w:p>
    <w:p w14:paraId="2C21BA2F" w14:textId="77777777" w:rsidR="00E002EC" w:rsidRPr="002E5742" w:rsidRDefault="00E002EC" w:rsidP="00E002EC">
      <w:pPr>
        <w:rPr>
          <w:rFonts w:cs="Arial"/>
          <w:lang w:val="en-GB"/>
        </w:rPr>
      </w:pPr>
    </w:p>
    <w:p w14:paraId="24F05C2A" w14:textId="77777777" w:rsidR="00E002EC" w:rsidRPr="002E5742" w:rsidRDefault="00E002EC" w:rsidP="00E002EC">
      <w:pPr>
        <w:rPr>
          <w:rFonts w:cs="Arial"/>
          <w:lang w:val="en-GB"/>
        </w:rPr>
      </w:pPr>
    </w:p>
    <w:p w14:paraId="340C8EDA" w14:textId="77777777" w:rsidR="00E002EC" w:rsidRPr="002E5742" w:rsidRDefault="00E002EC" w:rsidP="00E002EC">
      <w:pPr>
        <w:rPr>
          <w:rFonts w:cs="Arial"/>
          <w:lang w:val="en-GB"/>
        </w:rPr>
      </w:pPr>
    </w:p>
    <w:p w14:paraId="60D101A2" w14:textId="77777777" w:rsidR="00E002EC" w:rsidRPr="002E5742" w:rsidRDefault="00E002EC" w:rsidP="00E002EC">
      <w:pPr>
        <w:rPr>
          <w:rFonts w:cs="Arial"/>
          <w:lang w:val="en-GB"/>
        </w:rPr>
      </w:pPr>
    </w:p>
    <w:p w14:paraId="4D3885C8" w14:textId="77777777" w:rsidR="00E002EC" w:rsidRPr="002E5742" w:rsidRDefault="00E002EC" w:rsidP="00E002EC">
      <w:pPr>
        <w:rPr>
          <w:rFonts w:cs="Arial"/>
          <w:lang w:val="en-GB"/>
        </w:rPr>
      </w:pPr>
    </w:p>
    <w:p w14:paraId="0C713302" w14:textId="77777777" w:rsidR="00E002EC" w:rsidRPr="002E5742" w:rsidRDefault="00E002EC" w:rsidP="00E002EC">
      <w:pPr>
        <w:pStyle w:val="NoSpacing"/>
        <w:rPr>
          <w:rFonts w:cs="Arial"/>
          <w:sz w:val="22"/>
          <w:lang w:val="en-GB"/>
        </w:rPr>
      </w:pPr>
    </w:p>
    <w:p w14:paraId="6DBE9609" w14:textId="77777777" w:rsidR="00E002EC" w:rsidRPr="002E5742" w:rsidRDefault="00E002EC" w:rsidP="00E002EC">
      <w:pPr>
        <w:pStyle w:val="NoSpacing"/>
        <w:rPr>
          <w:rFonts w:cs="Arial"/>
          <w:sz w:val="22"/>
          <w:lang w:val="en-GB"/>
        </w:rPr>
      </w:pPr>
    </w:p>
    <w:p w14:paraId="438ECDF5" w14:textId="77777777" w:rsidR="00E002EC" w:rsidRPr="002E5742" w:rsidRDefault="00E002EC" w:rsidP="00E002EC">
      <w:pPr>
        <w:pStyle w:val="NoSpacing"/>
        <w:rPr>
          <w:rFonts w:cs="Arial"/>
          <w:sz w:val="22"/>
          <w:lang w:val="en-GB"/>
        </w:rPr>
      </w:pPr>
    </w:p>
    <w:p w14:paraId="587FFF0D" w14:textId="77777777" w:rsidR="00E002EC" w:rsidRPr="002E5742" w:rsidRDefault="00E002EC" w:rsidP="00E002EC">
      <w:pPr>
        <w:rPr>
          <w:rFonts w:cs="Arial"/>
          <w:lang w:val="en-GB"/>
        </w:rPr>
      </w:pPr>
    </w:p>
    <w:p w14:paraId="416887C4" w14:textId="77777777" w:rsidR="00E002EC" w:rsidRPr="002E5742" w:rsidRDefault="00E002EC" w:rsidP="00E002EC">
      <w:pPr>
        <w:rPr>
          <w:rFonts w:cs="Arial"/>
          <w:lang w:val="en-GB"/>
        </w:rPr>
      </w:pPr>
    </w:p>
    <w:p w14:paraId="622D2F36" w14:textId="77777777" w:rsidR="00E002EC" w:rsidRPr="002E5742" w:rsidRDefault="00E002EC" w:rsidP="00E002EC">
      <w:pPr>
        <w:rPr>
          <w:rFonts w:cs="Arial"/>
          <w:lang w:val="en-GB"/>
        </w:rPr>
      </w:pPr>
    </w:p>
    <w:p w14:paraId="7A790F9E" w14:textId="77777777" w:rsidR="00E002EC" w:rsidRPr="002E5742" w:rsidRDefault="00E002EC" w:rsidP="00E002EC">
      <w:pPr>
        <w:rPr>
          <w:rFonts w:cs="Arial"/>
          <w:lang w:val="en-GB"/>
        </w:rPr>
      </w:pPr>
    </w:p>
    <w:p w14:paraId="11591AE9" w14:textId="77777777" w:rsidR="00E002EC" w:rsidRDefault="00E002EC" w:rsidP="00E002EC">
      <w:pPr>
        <w:spacing w:after="0" w:line="240" w:lineRule="auto"/>
      </w:pPr>
    </w:p>
    <w:p w14:paraId="226A0F86" w14:textId="77777777" w:rsidR="00E002EC" w:rsidRDefault="00E002EC" w:rsidP="00E002EC">
      <w:pPr>
        <w:spacing w:after="0" w:line="240" w:lineRule="auto"/>
      </w:pPr>
    </w:p>
    <w:p w14:paraId="59E247F8" w14:textId="77777777" w:rsidR="00E002EC" w:rsidRDefault="00E002EC" w:rsidP="00E002EC">
      <w:pPr>
        <w:spacing w:after="0" w:line="240" w:lineRule="auto"/>
      </w:pPr>
    </w:p>
    <w:p w14:paraId="58EFC916" w14:textId="77777777" w:rsidR="00E002EC" w:rsidRDefault="00E002EC" w:rsidP="00E002EC">
      <w:pPr>
        <w:spacing w:after="0" w:line="240" w:lineRule="auto"/>
      </w:pPr>
    </w:p>
    <w:p w14:paraId="02024296" w14:textId="77777777" w:rsidR="00E002EC" w:rsidRDefault="00E002EC" w:rsidP="00E002EC">
      <w:pPr>
        <w:spacing w:after="0" w:line="240" w:lineRule="auto"/>
      </w:pPr>
    </w:p>
    <w:p w14:paraId="2BC1360E" w14:textId="77777777" w:rsidR="00E002EC" w:rsidRDefault="00E002EC" w:rsidP="00E002EC">
      <w:pPr>
        <w:spacing w:after="0" w:line="240" w:lineRule="auto"/>
      </w:pPr>
    </w:p>
    <w:p w14:paraId="2E438E75" w14:textId="77777777" w:rsidR="00E002EC" w:rsidRDefault="00E002EC" w:rsidP="00E002EC">
      <w:pPr>
        <w:spacing w:after="0" w:line="240" w:lineRule="auto"/>
      </w:pPr>
    </w:p>
    <w:p w14:paraId="70BCE10A" w14:textId="77777777" w:rsidR="00E002EC" w:rsidRDefault="00E002EC" w:rsidP="00E002EC">
      <w:pPr>
        <w:spacing w:after="0" w:line="240" w:lineRule="auto"/>
      </w:pPr>
    </w:p>
    <w:p w14:paraId="191221DD" w14:textId="77777777" w:rsidR="00E002EC" w:rsidRDefault="00E002EC" w:rsidP="00E002EC">
      <w:pPr>
        <w:spacing w:after="0" w:line="240" w:lineRule="auto"/>
      </w:pPr>
    </w:p>
    <w:p w14:paraId="67A9DE0B" w14:textId="77777777" w:rsidR="00E002EC" w:rsidRDefault="00E002EC" w:rsidP="00E002EC">
      <w:pPr>
        <w:spacing w:after="0" w:line="240" w:lineRule="auto"/>
      </w:pPr>
    </w:p>
    <w:p w14:paraId="7AB84620" w14:textId="77777777" w:rsidR="00E002EC" w:rsidRDefault="00E002EC" w:rsidP="00E002EC">
      <w:pPr>
        <w:spacing w:after="0" w:line="240" w:lineRule="auto"/>
      </w:pPr>
    </w:p>
    <w:p w14:paraId="0A673CAE" w14:textId="77777777" w:rsidR="00E002EC" w:rsidRDefault="00E002EC" w:rsidP="00E002EC">
      <w:pPr>
        <w:pStyle w:val="LWBody"/>
        <w:rPr>
          <w:sz w:val="22"/>
          <w:szCs w:val="22"/>
        </w:rPr>
      </w:pPr>
    </w:p>
    <w:p w14:paraId="358F86D9" w14:textId="77777777" w:rsidR="00E002EC" w:rsidRPr="007507CC" w:rsidRDefault="00E002EC" w:rsidP="00E002EC">
      <w:pPr>
        <w:pStyle w:val="LWBody"/>
      </w:pPr>
      <w:r w:rsidRPr="007507CC">
        <w:t>Published by National Learning and Work Institute (England and Wales)</w:t>
      </w:r>
    </w:p>
    <w:p w14:paraId="5E35100B" w14:textId="77777777" w:rsidR="00E002EC" w:rsidRPr="007507CC" w:rsidRDefault="00E002EC" w:rsidP="00E002EC">
      <w:pPr>
        <w:pStyle w:val="LWBody"/>
      </w:pPr>
      <w:r w:rsidRPr="007507CC">
        <w:t>4</w:t>
      </w:r>
      <w:r w:rsidRPr="007507CC">
        <w:rPr>
          <w:vertAlign w:val="superscript"/>
        </w:rPr>
        <w:t>th</w:t>
      </w:r>
      <w:r w:rsidRPr="007507CC">
        <w:t xml:space="preserve"> floor, Arnhem House, 31 Waterloo Way, </w:t>
      </w:r>
      <w:r w:rsidRPr="007507CC">
        <w:rPr>
          <w:rStyle w:val="Strong"/>
          <w:b w:val="0"/>
          <w:bCs w:val="0"/>
        </w:rPr>
        <w:t>Leicester</w:t>
      </w:r>
      <w:r w:rsidRPr="007507CC">
        <w:t xml:space="preserve"> LE1 6LP</w:t>
      </w:r>
    </w:p>
    <w:p w14:paraId="34B54E56" w14:textId="77777777" w:rsidR="00E002EC" w:rsidRPr="007507CC" w:rsidRDefault="00E002EC" w:rsidP="00E002EC">
      <w:pPr>
        <w:pStyle w:val="LWBody"/>
      </w:pPr>
      <w:r w:rsidRPr="007507CC">
        <w:lastRenderedPageBreak/>
        <w:t>Company registration no. 2603322 | Charity registration no. 1002775</w:t>
      </w:r>
    </w:p>
    <w:p w14:paraId="2A8B1901" w14:textId="77777777" w:rsidR="00E002EC" w:rsidRPr="007151C4" w:rsidRDefault="00E002EC" w:rsidP="00E002EC">
      <w:pPr>
        <w:pStyle w:val="LWBody"/>
        <w:rPr>
          <w:sz w:val="22"/>
          <w:szCs w:val="22"/>
        </w:rPr>
      </w:pPr>
    </w:p>
    <w:p w14:paraId="354AF416" w14:textId="77777777" w:rsidR="00E002EC" w:rsidRPr="007151C4" w:rsidRDefault="00E002EC" w:rsidP="00E002EC">
      <w:pPr>
        <w:rPr>
          <w:sz w:val="22"/>
        </w:rPr>
      </w:pPr>
      <w:r w:rsidRPr="007151C4">
        <w:rPr>
          <w:sz w:val="22"/>
        </w:rPr>
        <w:t xml:space="preserve">Learning and Work Institute is a new independent policy and research organisation dedicated to lifelong learning, full employment and inclusion. </w:t>
      </w:r>
    </w:p>
    <w:p w14:paraId="1782B6BA" w14:textId="77777777" w:rsidR="00E002EC" w:rsidRPr="007151C4" w:rsidRDefault="00E002EC" w:rsidP="00E002EC">
      <w:pPr>
        <w:rPr>
          <w:sz w:val="22"/>
        </w:rPr>
      </w:pPr>
      <w:r w:rsidRPr="007151C4">
        <w:rPr>
          <w:sz w:val="22"/>
        </w:rPr>
        <w:t>We research what works, develop new ways of thinking and implement new approaches. Working with partners, we transform people’s experiences of learning and employment. What we do benefits individuals, families, communities and the wider economy.</w:t>
      </w:r>
    </w:p>
    <w:p w14:paraId="0CA8C308" w14:textId="77777777" w:rsidR="00E002EC" w:rsidRPr="007151C4" w:rsidRDefault="00A83DBB" w:rsidP="00E002EC">
      <w:pPr>
        <w:pStyle w:val="LWBody"/>
        <w:rPr>
          <w:sz w:val="22"/>
          <w:szCs w:val="22"/>
        </w:rPr>
      </w:pPr>
      <w:hyperlink r:id="rId12" w:history="1">
        <w:r w:rsidR="00E002EC" w:rsidRPr="007151C4">
          <w:rPr>
            <w:rStyle w:val="Hyperlink"/>
            <w:sz w:val="22"/>
            <w:szCs w:val="22"/>
          </w:rPr>
          <w:t>www.learningandwork.org.uk</w:t>
        </w:r>
      </w:hyperlink>
      <w:r w:rsidR="00E002EC" w:rsidRPr="007151C4">
        <w:rPr>
          <w:sz w:val="22"/>
          <w:szCs w:val="22"/>
        </w:rPr>
        <w:t xml:space="preserve"> </w:t>
      </w:r>
      <w:r w:rsidR="00E002EC" w:rsidRPr="007151C4">
        <w:rPr>
          <w:sz w:val="22"/>
          <w:szCs w:val="22"/>
        </w:rPr>
        <w:tab/>
        <w:t xml:space="preserve">@LearnWorkUK </w:t>
      </w:r>
      <w:r w:rsidR="00E002EC" w:rsidRPr="007151C4">
        <w:rPr>
          <w:sz w:val="22"/>
          <w:szCs w:val="22"/>
        </w:rPr>
        <w:tab/>
        <w:t>@LearnWorkCymru (Wales)</w:t>
      </w:r>
    </w:p>
    <w:p w14:paraId="414ECBFE" w14:textId="77777777" w:rsidR="00E002EC" w:rsidRPr="007151C4" w:rsidRDefault="00E002EC" w:rsidP="00E002EC">
      <w:pPr>
        <w:spacing w:after="0" w:line="240" w:lineRule="auto"/>
        <w:rPr>
          <w:sz w:val="22"/>
        </w:rPr>
      </w:pPr>
      <w:r w:rsidRPr="007151C4">
        <w:rPr>
          <w:sz w:val="22"/>
        </w:rPr>
        <w:t xml:space="preserve">All rights reserved. No reproduction, copy or transmission of this publication may be made without the written permission of the publishers, save in accordance with the provisions of the Copyright, Designs and Patents Act 1988, or under the terms of any </w:t>
      </w:r>
      <w:proofErr w:type="spellStart"/>
      <w:r w:rsidRPr="007151C4">
        <w:rPr>
          <w:sz w:val="22"/>
        </w:rPr>
        <w:t>licence</w:t>
      </w:r>
      <w:proofErr w:type="spellEnd"/>
      <w:r w:rsidRPr="007151C4">
        <w:rPr>
          <w:sz w:val="22"/>
        </w:rPr>
        <w:t xml:space="preserve"> permitting limited copying issued by the Copyright Licensing Agency.</w:t>
      </w:r>
    </w:p>
    <w:p w14:paraId="7439417F" w14:textId="796D97F9" w:rsidR="00E002EC" w:rsidRPr="00E002EC" w:rsidRDefault="00E002EC" w:rsidP="00E002EC">
      <w:pPr>
        <w:spacing w:after="0" w:line="240" w:lineRule="auto"/>
        <w:rPr>
          <w:rFonts w:cs="Arial"/>
          <w:b/>
          <w:color w:val="EE7E3B"/>
          <w:sz w:val="26"/>
          <w:szCs w:val="26"/>
          <w:lang w:val="en-GB"/>
        </w:rPr>
      </w:pPr>
      <w:r>
        <w:br w:type="page"/>
      </w:r>
    </w:p>
    <w:sdt>
      <w:sdtPr>
        <w:rPr>
          <w:rFonts w:eastAsia="Calibri" w:cs="Times New Roman"/>
          <w:b w:val="0"/>
          <w:bCs w:val="0"/>
          <w:color w:val="auto"/>
          <w:sz w:val="20"/>
          <w:szCs w:val="22"/>
        </w:rPr>
        <w:id w:val="1531607471"/>
        <w:docPartObj>
          <w:docPartGallery w:val="Table of Contents"/>
          <w:docPartUnique/>
        </w:docPartObj>
      </w:sdtPr>
      <w:sdtEndPr>
        <w:rPr>
          <w:noProof/>
        </w:rPr>
      </w:sdtEndPr>
      <w:sdtContent>
        <w:p w14:paraId="5392960E" w14:textId="77777777" w:rsidR="00E002EC" w:rsidRDefault="00E002EC" w:rsidP="00E002EC">
          <w:pPr>
            <w:pStyle w:val="TOCHeading"/>
          </w:pPr>
          <w:r>
            <w:t>Contents</w:t>
          </w:r>
        </w:p>
        <w:p w14:paraId="4AF2593B" w14:textId="6AE80AC4" w:rsidR="00E002EC" w:rsidRDefault="00E002EC">
          <w:pPr>
            <w:pStyle w:val="TOC1"/>
            <w:rPr>
              <w:rFonts w:asciiTheme="minorHAnsi" w:eastAsiaTheme="minorEastAsia" w:hAnsiTheme="minorHAnsi" w:cstheme="minorBidi"/>
              <w:sz w:val="22"/>
              <w:lang w:eastAsia="en-GB"/>
            </w:rPr>
          </w:pPr>
          <w:r>
            <w:rPr>
              <w:noProof w:val="0"/>
            </w:rPr>
            <w:fldChar w:fldCharType="begin"/>
          </w:r>
          <w:r>
            <w:instrText xml:space="preserve"> TOC \o "1-3" \h \z \u </w:instrText>
          </w:r>
          <w:r>
            <w:rPr>
              <w:noProof w:val="0"/>
            </w:rPr>
            <w:fldChar w:fldCharType="separate"/>
          </w:r>
          <w:hyperlink w:anchor="_Toc133569838" w:history="1">
            <w:r w:rsidRPr="00EF3B74">
              <w:rPr>
                <w:rStyle w:val="Hyperlink"/>
              </w:rPr>
              <w:t>About Learning and Work Institute</w:t>
            </w:r>
            <w:r>
              <w:rPr>
                <w:webHidden/>
              </w:rPr>
              <w:tab/>
            </w:r>
            <w:r>
              <w:rPr>
                <w:webHidden/>
              </w:rPr>
              <w:fldChar w:fldCharType="begin"/>
            </w:r>
            <w:r>
              <w:rPr>
                <w:webHidden/>
              </w:rPr>
              <w:instrText xml:space="preserve"> PAGEREF _Toc133569838 \h </w:instrText>
            </w:r>
            <w:r>
              <w:rPr>
                <w:webHidden/>
              </w:rPr>
            </w:r>
            <w:r>
              <w:rPr>
                <w:webHidden/>
              </w:rPr>
              <w:fldChar w:fldCharType="separate"/>
            </w:r>
            <w:r>
              <w:rPr>
                <w:webHidden/>
              </w:rPr>
              <w:t>4</w:t>
            </w:r>
            <w:r>
              <w:rPr>
                <w:webHidden/>
              </w:rPr>
              <w:fldChar w:fldCharType="end"/>
            </w:r>
          </w:hyperlink>
        </w:p>
        <w:p w14:paraId="4E55FB4C" w14:textId="690BB8DA" w:rsidR="00E002EC" w:rsidRDefault="00A83DBB">
          <w:pPr>
            <w:pStyle w:val="TOC1"/>
            <w:rPr>
              <w:rFonts w:asciiTheme="minorHAnsi" w:eastAsiaTheme="minorEastAsia" w:hAnsiTheme="minorHAnsi" w:cstheme="minorBidi"/>
              <w:sz w:val="22"/>
              <w:lang w:eastAsia="en-GB"/>
            </w:rPr>
          </w:pPr>
          <w:hyperlink w:anchor="_Toc133569839" w:history="1">
            <w:r w:rsidR="00E002EC" w:rsidRPr="00EF3B74">
              <w:rPr>
                <w:rStyle w:val="Hyperlink"/>
              </w:rPr>
              <w:t>Introduction</w:t>
            </w:r>
            <w:r w:rsidR="00E002EC">
              <w:rPr>
                <w:webHidden/>
              </w:rPr>
              <w:tab/>
            </w:r>
            <w:r w:rsidR="00E002EC">
              <w:rPr>
                <w:webHidden/>
              </w:rPr>
              <w:fldChar w:fldCharType="begin"/>
            </w:r>
            <w:r w:rsidR="00E002EC">
              <w:rPr>
                <w:webHidden/>
              </w:rPr>
              <w:instrText xml:space="preserve"> PAGEREF _Toc133569839 \h </w:instrText>
            </w:r>
            <w:r w:rsidR="00E002EC">
              <w:rPr>
                <w:webHidden/>
              </w:rPr>
            </w:r>
            <w:r w:rsidR="00E002EC">
              <w:rPr>
                <w:webHidden/>
              </w:rPr>
              <w:fldChar w:fldCharType="separate"/>
            </w:r>
            <w:r w:rsidR="00E002EC">
              <w:rPr>
                <w:webHidden/>
              </w:rPr>
              <w:t>5</w:t>
            </w:r>
            <w:r w:rsidR="00E002EC">
              <w:rPr>
                <w:webHidden/>
              </w:rPr>
              <w:fldChar w:fldCharType="end"/>
            </w:r>
          </w:hyperlink>
        </w:p>
        <w:p w14:paraId="53966016" w14:textId="76E8F356"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40" w:history="1">
            <w:r w:rsidR="00E002EC" w:rsidRPr="00EF3B74">
              <w:rPr>
                <w:rStyle w:val="Hyperlink"/>
                <w:noProof/>
              </w:rPr>
              <w:t>Aims of the study</w:t>
            </w:r>
            <w:r w:rsidR="00E002EC">
              <w:rPr>
                <w:noProof/>
                <w:webHidden/>
              </w:rPr>
              <w:tab/>
            </w:r>
            <w:r w:rsidR="00E002EC">
              <w:rPr>
                <w:noProof/>
                <w:webHidden/>
              </w:rPr>
              <w:fldChar w:fldCharType="begin"/>
            </w:r>
            <w:r w:rsidR="00E002EC">
              <w:rPr>
                <w:noProof/>
                <w:webHidden/>
              </w:rPr>
              <w:instrText xml:space="preserve"> PAGEREF _Toc133569840 \h </w:instrText>
            </w:r>
            <w:r w:rsidR="00E002EC">
              <w:rPr>
                <w:noProof/>
                <w:webHidden/>
              </w:rPr>
            </w:r>
            <w:r w:rsidR="00E002EC">
              <w:rPr>
                <w:noProof/>
                <w:webHidden/>
              </w:rPr>
              <w:fldChar w:fldCharType="separate"/>
            </w:r>
            <w:r w:rsidR="00E002EC">
              <w:rPr>
                <w:noProof/>
                <w:webHidden/>
              </w:rPr>
              <w:t>5</w:t>
            </w:r>
            <w:r w:rsidR="00E002EC">
              <w:rPr>
                <w:noProof/>
                <w:webHidden/>
              </w:rPr>
              <w:fldChar w:fldCharType="end"/>
            </w:r>
          </w:hyperlink>
        </w:p>
        <w:p w14:paraId="4AF0FECA" w14:textId="5D85A47E"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41" w:history="1">
            <w:r w:rsidR="00E002EC" w:rsidRPr="00EF3B74">
              <w:rPr>
                <w:rStyle w:val="Hyperlink"/>
                <w:noProof/>
              </w:rPr>
              <w:t>Our approach</w:t>
            </w:r>
            <w:r w:rsidR="00E002EC">
              <w:rPr>
                <w:noProof/>
                <w:webHidden/>
              </w:rPr>
              <w:tab/>
            </w:r>
            <w:r w:rsidR="00E002EC">
              <w:rPr>
                <w:noProof/>
                <w:webHidden/>
              </w:rPr>
              <w:fldChar w:fldCharType="begin"/>
            </w:r>
            <w:r w:rsidR="00E002EC">
              <w:rPr>
                <w:noProof/>
                <w:webHidden/>
              </w:rPr>
              <w:instrText xml:space="preserve"> PAGEREF _Toc133569841 \h </w:instrText>
            </w:r>
            <w:r w:rsidR="00E002EC">
              <w:rPr>
                <w:noProof/>
                <w:webHidden/>
              </w:rPr>
            </w:r>
            <w:r w:rsidR="00E002EC">
              <w:rPr>
                <w:noProof/>
                <w:webHidden/>
              </w:rPr>
              <w:fldChar w:fldCharType="separate"/>
            </w:r>
            <w:r w:rsidR="00E002EC">
              <w:rPr>
                <w:noProof/>
                <w:webHidden/>
              </w:rPr>
              <w:t>6</w:t>
            </w:r>
            <w:r w:rsidR="00E002EC">
              <w:rPr>
                <w:noProof/>
                <w:webHidden/>
              </w:rPr>
              <w:fldChar w:fldCharType="end"/>
            </w:r>
          </w:hyperlink>
        </w:p>
        <w:p w14:paraId="1A6B5A36" w14:textId="2555EA4D"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42" w:history="1">
            <w:r w:rsidR="00E002EC" w:rsidRPr="00EF3B74">
              <w:rPr>
                <w:rStyle w:val="Hyperlink"/>
                <w:noProof/>
              </w:rPr>
              <w:t>Reporting</w:t>
            </w:r>
            <w:r w:rsidR="00E002EC">
              <w:rPr>
                <w:noProof/>
                <w:webHidden/>
              </w:rPr>
              <w:tab/>
            </w:r>
            <w:r w:rsidR="00E002EC">
              <w:rPr>
                <w:noProof/>
                <w:webHidden/>
              </w:rPr>
              <w:fldChar w:fldCharType="begin"/>
            </w:r>
            <w:r w:rsidR="00E002EC">
              <w:rPr>
                <w:noProof/>
                <w:webHidden/>
              </w:rPr>
              <w:instrText xml:space="preserve"> PAGEREF _Toc133569842 \h </w:instrText>
            </w:r>
            <w:r w:rsidR="00E002EC">
              <w:rPr>
                <w:noProof/>
                <w:webHidden/>
              </w:rPr>
            </w:r>
            <w:r w:rsidR="00E002EC">
              <w:rPr>
                <w:noProof/>
                <w:webHidden/>
              </w:rPr>
              <w:fldChar w:fldCharType="separate"/>
            </w:r>
            <w:r w:rsidR="00E002EC">
              <w:rPr>
                <w:noProof/>
                <w:webHidden/>
              </w:rPr>
              <w:t>6</w:t>
            </w:r>
            <w:r w:rsidR="00E002EC">
              <w:rPr>
                <w:noProof/>
                <w:webHidden/>
              </w:rPr>
              <w:fldChar w:fldCharType="end"/>
            </w:r>
          </w:hyperlink>
        </w:p>
        <w:p w14:paraId="23708064" w14:textId="4E4109DB" w:rsidR="00E002EC" w:rsidRDefault="00A83DBB">
          <w:pPr>
            <w:pStyle w:val="TOC1"/>
            <w:rPr>
              <w:rFonts w:asciiTheme="minorHAnsi" w:eastAsiaTheme="minorEastAsia" w:hAnsiTheme="minorHAnsi" w:cstheme="minorBidi"/>
              <w:sz w:val="22"/>
              <w:lang w:eastAsia="en-GB"/>
            </w:rPr>
          </w:pPr>
          <w:hyperlink w:anchor="_Toc133569843" w:history="1">
            <w:r w:rsidR="00E002EC" w:rsidRPr="00EF3B74">
              <w:rPr>
                <w:rStyle w:val="Hyperlink"/>
              </w:rPr>
              <w:t>How adult learning is delivered through the Partnerships</w:t>
            </w:r>
            <w:r w:rsidR="00E002EC">
              <w:rPr>
                <w:webHidden/>
              </w:rPr>
              <w:tab/>
            </w:r>
            <w:r w:rsidR="00E002EC">
              <w:rPr>
                <w:webHidden/>
              </w:rPr>
              <w:fldChar w:fldCharType="begin"/>
            </w:r>
            <w:r w:rsidR="00E002EC">
              <w:rPr>
                <w:webHidden/>
              </w:rPr>
              <w:instrText xml:space="preserve"> PAGEREF _Toc133569843 \h </w:instrText>
            </w:r>
            <w:r w:rsidR="00E002EC">
              <w:rPr>
                <w:webHidden/>
              </w:rPr>
            </w:r>
            <w:r w:rsidR="00E002EC">
              <w:rPr>
                <w:webHidden/>
              </w:rPr>
              <w:fldChar w:fldCharType="separate"/>
            </w:r>
            <w:r w:rsidR="00E002EC">
              <w:rPr>
                <w:webHidden/>
              </w:rPr>
              <w:t>8</w:t>
            </w:r>
            <w:r w:rsidR="00E002EC">
              <w:rPr>
                <w:webHidden/>
              </w:rPr>
              <w:fldChar w:fldCharType="end"/>
            </w:r>
          </w:hyperlink>
        </w:p>
        <w:p w14:paraId="2DFA4DB4" w14:textId="376B04CC"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44" w:history="1">
            <w:r w:rsidR="00E002EC" w:rsidRPr="00EF3B74">
              <w:rPr>
                <w:rStyle w:val="Hyperlink"/>
                <w:noProof/>
              </w:rPr>
              <w:t>Partnerships’ operating capacity</w:t>
            </w:r>
            <w:r w:rsidR="00E002EC">
              <w:rPr>
                <w:noProof/>
                <w:webHidden/>
              </w:rPr>
              <w:tab/>
            </w:r>
            <w:r w:rsidR="00E002EC">
              <w:rPr>
                <w:noProof/>
                <w:webHidden/>
              </w:rPr>
              <w:fldChar w:fldCharType="begin"/>
            </w:r>
            <w:r w:rsidR="00E002EC">
              <w:rPr>
                <w:noProof/>
                <w:webHidden/>
              </w:rPr>
              <w:instrText xml:space="preserve"> PAGEREF _Toc133569844 \h </w:instrText>
            </w:r>
            <w:r w:rsidR="00E002EC">
              <w:rPr>
                <w:noProof/>
                <w:webHidden/>
              </w:rPr>
            </w:r>
            <w:r w:rsidR="00E002EC">
              <w:rPr>
                <w:noProof/>
                <w:webHidden/>
              </w:rPr>
              <w:fldChar w:fldCharType="separate"/>
            </w:r>
            <w:r w:rsidR="00E002EC">
              <w:rPr>
                <w:noProof/>
                <w:webHidden/>
              </w:rPr>
              <w:t>8</w:t>
            </w:r>
            <w:r w:rsidR="00E002EC">
              <w:rPr>
                <w:noProof/>
                <w:webHidden/>
              </w:rPr>
              <w:fldChar w:fldCharType="end"/>
            </w:r>
          </w:hyperlink>
        </w:p>
        <w:p w14:paraId="7683AFE7" w14:textId="7B550189"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45" w:history="1">
            <w:r w:rsidR="00E002EC" w:rsidRPr="00EF3B74">
              <w:rPr>
                <w:rStyle w:val="Hyperlink"/>
                <w:noProof/>
                <w:lang w:val="en-GB"/>
              </w:rPr>
              <w:t>Current approaches</w:t>
            </w:r>
            <w:r w:rsidR="00E002EC">
              <w:rPr>
                <w:noProof/>
                <w:webHidden/>
              </w:rPr>
              <w:tab/>
            </w:r>
            <w:r w:rsidR="00E002EC">
              <w:rPr>
                <w:noProof/>
                <w:webHidden/>
              </w:rPr>
              <w:fldChar w:fldCharType="begin"/>
            </w:r>
            <w:r w:rsidR="00E002EC">
              <w:rPr>
                <w:noProof/>
                <w:webHidden/>
              </w:rPr>
              <w:instrText xml:space="preserve"> PAGEREF _Toc133569845 \h </w:instrText>
            </w:r>
            <w:r w:rsidR="00E002EC">
              <w:rPr>
                <w:noProof/>
                <w:webHidden/>
              </w:rPr>
            </w:r>
            <w:r w:rsidR="00E002EC">
              <w:rPr>
                <w:noProof/>
                <w:webHidden/>
              </w:rPr>
              <w:fldChar w:fldCharType="separate"/>
            </w:r>
            <w:r w:rsidR="00E002EC">
              <w:rPr>
                <w:noProof/>
                <w:webHidden/>
              </w:rPr>
              <w:t>8</w:t>
            </w:r>
            <w:r w:rsidR="00E002EC">
              <w:rPr>
                <w:noProof/>
                <w:webHidden/>
              </w:rPr>
              <w:fldChar w:fldCharType="end"/>
            </w:r>
          </w:hyperlink>
        </w:p>
        <w:p w14:paraId="350035FE" w14:textId="7C393577"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46" w:history="1">
            <w:r w:rsidR="00E002EC" w:rsidRPr="00EF3B74">
              <w:rPr>
                <w:rStyle w:val="Hyperlink"/>
                <w:noProof/>
                <w:lang w:val="en-GB"/>
              </w:rPr>
              <w:t>Opportunities and strengths</w:t>
            </w:r>
            <w:r w:rsidR="00E002EC">
              <w:rPr>
                <w:noProof/>
                <w:webHidden/>
              </w:rPr>
              <w:tab/>
            </w:r>
            <w:r w:rsidR="00E002EC">
              <w:rPr>
                <w:noProof/>
                <w:webHidden/>
              </w:rPr>
              <w:fldChar w:fldCharType="begin"/>
            </w:r>
            <w:r w:rsidR="00E002EC">
              <w:rPr>
                <w:noProof/>
                <w:webHidden/>
              </w:rPr>
              <w:instrText xml:space="preserve"> PAGEREF _Toc133569846 \h </w:instrText>
            </w:r>
            <w:r w:rsidR="00E002EC">
              <w:rPr>
                <w:noProof/>
                <w:webHidden/>
              </w:rPr>
            </w:r>
            <w:r w:rsidR="00E002EC">
              <w:rPr>
                <w:noProof/>
                <w:webHidden/>
              </w:rPr>
              <w:fldChar w:fldCharType="separate"/>
            </w:r>
            <w:r w:rsidR="00E002EC">
              <w:rPr>
                <w:noProof/>
                <w:webHidden/>
              </w:rPr>
              <w:t>10</w:t>
            </w:r>
            <w:r w:rsidR="00E002EC">
              <w:rPr>
                <w:noProof/>
                <w:webHidden/>
              </w:rPr>
              <w:fldChar w:fldCharType="end"/>
            </w:r>
          </w:hyperlink>
        </w:p>
        <w:p w14:paraId="64241B87" w14:textId="5673FCF3"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47" w:history="1">
            <w:r w:rsidR="00E002EC" w:rsidRPr="00EF3B74">
              <w:rPr>
                <w:rStyle w:val="Hyperlink"/>
                <w:noProof/>
                <w:lang w:val="en-GB"/>
              </w:rPr>
              <w:t>Issues and challenges</w:t>
            </w:r>
            <w:r w:rsidR="00E002EC">
              <w:rPr>
                <w:noProof/>
                <w:webHidden/>
              </w:rPr>
              <w:tab/>
            </w:r>
            <w:r w:rsidR="00E002EC">
              <w:rPr>
                <w:noProof/>
                <w:webHidden/>
              </w:rPr>
              <w:fldChar w:fldCharType="begin"/>
            </w:r>
            <w:r w:rsidR="00E002EC">
              <w:rPr>
                <w:noProof/>
                <w:webHidden/>
              </w:rPr>
              <w:instrText xml:space="preserve"> PAGEREF _Toc133569847 \h </w:instrText>
            </w:r>
            <w:r w:rsidR="00E002EC">
              <w:rPr>
                <w:noProof/>
                <w:webHidden/>
              </w:rPr>
            </w:r>
            <w:r w:rsidR="00E002EC">
              <w:rPr>
                <w:noProof/>
                <w:webHidden/>
              </w:rPr>
              <w:fldChar w:fldCharType="separate"/>
            </w:r>
            <w:r w:rsidR="00E002EC">
              <w:rPr>
                <w:noProof/>
                <w:webHidden/>
              </w:rPr>
              <w:t>11</w:t>
            </w:r>
            <w:r w:rsidR="00E002EC">
              <w:rPr>
                <w:noProof/>
                <w:webHidden/>
              </w:rPr>
              <w:fldChar w:fldCharType="end"/>
            </w:r>
          </w:hyperlink>
        </w:p>
        <w:p w14:paraId="5840E41B" w14:textId="527C95B8"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48" w:history="1">
            <w:r w:rsidR="00E002EC" w:rsidRPr="00EF3B74">
              <w:rPr>
                <w:rStyle w:val="Hyperlink"/>
                <w:noProof/>
              </w:rPr>
              <w:t>Meeting local learning needs</w:t>
            </w:r>
            <w:r w:rsidR="00E002EC">
              <w:rPr>
                <w:noProof/>
                <w:webHidden/>
              </w:rPr>
              <w:tab/>
            </w:r>
            <w:r w:rsidR="00E002EC">
              <w:rPr>
                <w:noProof/>
                <w:webHidden/>
              </w:rPr>
              <w:fldChar w:fldCharType="begin"/>
            </w:r>
            <w:r w:rsidR="00E002EC">
              <w:rPr>
                <w:noProof/>
                <w:webHidden/>
              </w:rPr>
              <w:instrText xml:space="preserve"> PAGEREF _Toc133569848 \h </w:instrText>
            </w:r>
            <w:r w:rsidR="00E002EC">
              <w:rPr>
                <w:noProof/>
                <w:webHidden/>
              </w:rPr>
            </w:r>
            <w:r w:rsidR="00E002EC">
              <w:rPr>
                <w:noProof/>
                <w:webHidden/>
              </w:rPr>
              <w:fldChar w:fldCharType="separate"/>
            </w:r>
            <w:r w:rsidR="00E002EC">
              <w:rPr>
                <w:noProof/>
                <w:webHidden/>
              </w:rPr>
              <w:t>12</w:t>
            </w:r>
            <w:r w:rsidR="00E002EC">
              <w:rPr>
                <w:noProof/>
                <w:webHidden/>
              </w:rPr>
              <w:fldChar w:fldCharType="end"/>
            </w:r>
          </w:hyperlink>
        </w:p>
        <w:p w14:paraId="4C7BC663" w14:textId="26BCB9A3"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49" w:history="1">
            <w:r w:rsidR="00E002EC" w:rsidRPr="00EF3B74">
              <w:rPr>
                <w:rStyle w:val="Hyperlink"/>
                <w:noProof/>
                <w:lang w:val="en-GB"/>
              </w:rPr>
              <w:t>Current approaches</w:t>
            </w:r>
            <w:r w:rsidR="00E002EC">
              <w:rPr>
                <w:noProof/>
                <w:webHidden/>
              </w:rPr>
              <w:tab/>
            </w:r>
            <w:r w:rsidR="00E002EC">
              <w:rPr>
                <w:noProof/>
                <w:webHidden/>
              </w:rPr>
              <w:fldChar w:fldCharType="begin"/>
            </w:r>
            <w:r w:rsidR="00E002EC">
              <w:rPr>
                <w:noProof/>
                <w:webHidden/>
              </w:rPr>
              <w:instrText xml:space="preserve"> PAGEREF _Toc133569849 \h </w:instrText>
            </w:r>
            <w:r w:rsidR="00E002EC">
              <w:rPr>
                <w:noProof/>
                <w:webHidden/>
              </w:rPr>
            </w:r>
            <w:r w:rsidR="00E002EC">
              <w:rPr>
                <w:noProof/>
                <w:webHidden/>
              </w:rPr>
              <w:fldChar w:fldCharType="separate"/>
            </w:r>
            <w:r w:rsidR="00E002EC">
              <w:rPr>
                <w:noProof/>
                <w:webHidden/>
              </w:rPr>
              <w:t>12</w:t>
            </w:r>
            <w:r w:rsidR="00E002EC">
              <w:rPr>
                <w:noProof/>
                <w:webHidden/>
              </w:rPr>
              <w:fldChar w:fldCharType="end"/>
            </w:r>
          </w:hyperlink>
        </w:p>
        <w:p w14:paraId="437690FE" w14:textId="5432D59A"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50" w:history="1">
            <w:r w:rsidR="00E002EC" w:rsidRPr="00EF3B74">
              <w:rPr>
                <w:rStyle w:val="Hyperlink"/>
                <w:noProof/>
                <w:lang w:val="en-GB"/>
              </w:rPr>
              <w:t>Opportunities and strengths</w:t>
            </w:r>
            <w:r w:rsidR="00E002EC">
              <w:rPr>
                <w:noProof/>
                <w:webHidden/>
              </w:rPr>
              <w:tab/>
            </w:r>
            <w:r w:rsidR="00E002EC">
              <w:rPr>
                <w:noProof/>
                <w:webHidden/>
              </w:rPr>
              <w:fldChar w:fldCharType="begin"/>
            </w:r>
            <w:r w:rsidR="00E002EC">
              <w:rPr>
                <w:noProof/>
                <w:webHidden/>
              </w:rPr>
              <w:instrText xml:space="preserve"> PAGEREF _Toc133569850 \h </w:instrText>
            </w:r>
            <w:r w:rsidR="00E002EC">
              <w:rPr>
                <w:noProof/>
                <w:webHidden/>
              </w:rPr>
            </w:r>
            <w:r w:rsidR="00E002EC">
              <w:rPr>
                <w:noProof/>
                <w:webHidden/>
              </w:rPr>
              <w:fldChar w:fldCharType="separate"/>
            </w:r>
            <w:r w:rsidR="00E002EC">
              <w:rPr>
                <w:noProof/>
                <w:webHidden/>
              </w:rPr>
              <w:t>15</w:t>
            </w:r>
            <w:r w:rsidR="00E002EC">
              <w:rPr>
                <w:noProof/>
                <w:webHidden/>
              </w:rPr>
              <w:fldChar w:fldCharType="end"/>
            </w:r>
          </w:hyperlink>
        </w:p>
        <w:p w14:paraId="36A52FA0" w14:textId="54868B63"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51" w:history="1">
            <w:r w:rsidR="00E002EC" w:rsidRPr="00EF3B74">
              <w:rPr>
                <w:rStyle w:val="Hyperlink"/>
                <w:noProof/>
                <w:lang w:val="en-GB"/>
              </w:rPr>
              <w:t>Issues and challenges</w:t>
            </w:r>
            <w:r w:rsidR="00E002EC">
              <w:rPr>
                <w:noProof/>
                <w:webHidden/>
              </w:rPr>
              <w:tab/>
            </w:r>
            <w:r w:rsidR="00E002EC">
              <w:rPr>
                <w:noProof/>
                <w:webHidden/>
              </w:rPr>
              <w:fldChar w:fldCharType="begin"/>
            </w:r>
            <w:r w:rsidR="00E002EC">
              <w:rPr>
                <w:noProof/>
                <w:webHidden/>
              </w:rPr>
              <w:instrText xml:space="preserve"> PAGEREF _Toc133569851 \h </w:instrText>
            </w:r>
            <w:r w:rsidR="00E002EC">
              <w:rPr>
                <w:noProof/>
                <w:webHidden/>
              </w:rPr>
            </w:r>
            <w:r w:rsidR="00E002EC">
              <w:rPr>
                <w:noProof/>
                <w:webHidden/>
              </w:rPr>
              <w:fldChar w:fldCharType="separate"/>
            </w:r>
            <w:r w:rsidR="00E002EC">
              <w:rPr>
                <w:noProof/>
                <w:webHidden/>
              </w:rPr>
              <w:t>17</w:t>
            </w:r>
            <w:r w:rsidR="00E002EC">
              <w:rPr>
                <w:noProof/>
                <w:webHidden/>
              </w:rPr>
              <w:fldChar w:fldCharType="end"/>
            </w:r>
          </w:hyperlink>
        </w:p>
        <w:p w14:paraId="7A20CE4F" w14:textId="74258A18"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52" w:history="1">
            <w:r w:rsidR="00E002EC" w:rsidRPr="00EF3B74">
              <w:rPr>
                <w:rStyle w:val="Hyperlink"/>
                <w:noProof/>
              </w:rPr>
              <w:t>Marketing and promotion</w:t>
            </w:r>
            <w:r w:rsidR="00E002EC">
              <w:rPr>
                <w:noProof/>
                <w:webHidden/>
              </w:rPr>
              <w:tab/>
            </w:r>
            <w:r w:rsidR="00E002EC">
              <w:rPr>
                <w:noProof/>
                <w:webHidden/>
              </w:rPr>
              <w:fldChar w:fldCharType="begin"/>
            </w:r>
            <w:r w:rsidR="00E002EC">
              <w:rPr>
                <w:noProof/>
                <w:webHidden/>
              </w:rPr>
              <w:instrText xml:space="preserve"> PAGEREF _Toc133569852 \h </w:instrText>
            </w:r>
            <w:r w:rsidR="00E002EC">
              <w:rPr>
                <w:noProof/>
                <w:webHidden/>
              </w:rPr>
            </w:r>
            <w:r w:rsidR="00E002EC">
              <w:rPr>
                <w:noProof/>
                <w:webHidden/>
              </w:rPr>
              <w:fldChar w:fldCharType="separate"/>
            </w:r>
            <w:r w:rsidR="00E002EC">
              <w:rPr>
                <w:noProof/>
                <w:webHidden/>
              </w:rPr>
              <w:t>19</w:t>
            </w:r>
            <w:r w:rsidR="00E002EC">
              <w:rPr>
                <w:noProof/>
                <w:webHidden/>
              </w:rPr>
              <w:fldChar w:fldCharType="end"/>
            </w:r>
          </w:hyperlink>
        </w:p>
        <w:p w14:paraId="5797ADF3" w14:textId="43E5263A"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53" w:history="1">
            <w:r w:rsidR="00E002EC" w:rsidRPr="00EF3B74">
              <w:rPr>
                <w:rStyle w:val="Hyperlink"/>
                <w:noProof/>
                <w:lang w:val="en-GB"/>
              </w:rPr>
              <w:t>Current approaches</w:t>
            </w:r>
            <w:r w:rsidR="00E002EC">
              <w:rPr>
                <w:noProof/>
                <w:webHidden/>
              </w:rPr>
              <w:tab/>
            </w:r>
            <w:r w:rsidR="00E002EC">
              <w:rPr>
                <w:noProof/>
                <w:webHidden/>
              </w:rPr>
              <w:fldChar w:fldCharType="begin"/>
            </w:r>
            <w:r w:rsidR="00E002EC">
              <w:rPr>
                <w:noProof/>
                <w:webHidden/>
              </w:rPr>
              <w:instrText xml:space="preserve"> PAGEREF _Toc133569853 \h </w:instrText>
            </w:r>
            <w:r w:rsidR="00E002EC">
              <w:rPr>
                <w:noProof/>
                <w:webHidden/>
              </w:rPr>
            </w:r>
            <w:r w:rsidR="00E002EC">
              <w:rPr>
                <w:noProof/>
                <w:webHidden/>
              </w:rPr>
              <w:fldChar w:fldCharType="separate"/>
            </w:r>
            <w:r w:rsidR="00E002EC">
              <w:rPr>
                <w:noProof/>
                <w:webHidden/>
              </w:rPr>
              <w:t>20</w:t>
            </w:r>
            <w:r w:rsidR="00E002EC">
              <w:rPr>
                <w:noProof/>
                <w:webHidden/>
              </w:rPr>
              <w:fldChar w:fldCharType="end"/>
            </w:r>
          </w:hyperlink>
        </w:p>
        <w:p w14:paraId="70F929DA" w14:textId="60DCEEBA"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54" w:history="1">
            <w:r w:rsidR="00E002EC" w:rsidRPr="00EF3B74">
              <w:rPr>
                <w:rStyle w:val="Hyperlink"/>
                <w:noProof/>
                <w:lang w:val="en-GB"/>
              </w:rPr>
              <w:t>Opportunities and strengths</w:t>
            </w:r>
            <w:r w:rsidR="00E002EC">
              <w:rPr>
                <w:noProof/>
                <w:webHidden/>
              </w:rPr>
              <w:tab/>
            </w:r>
            <w:r w:rsidR="00E002EC">
              <w:rPr>
                <w:noProof/>
                <w:webHidden/>
              </w:rPr>
              <w:fldChar w:fldCharType="begin"/>
            </w:r>
            <w:r w:rsidR="00E002EC">
              <w:rPr>
                <w:noProof/>
                <w:webHidden/>
              </w:rPr>
              <w:instrText xml:space="preserve"> PAGEREF _Toc133569854 \h </w:instrText>
            </w:r>
            <w:r w:rsidR="00E002EC">
              <w:rPr>
                <w:noProof/>
                <w:webHidden/>
              </w:rPr>
            </w:r>
            <w:r w:rsidR="00E002EC">
              <w:rPr>
                <w:noProof/>
                <w:webHidden/>
              </w:rPr>
              <w:fldChar w:fldCharType="separate"/>
            </w:r>
            <w:r w:rsidR="00E002EC">
              <w:rPr>
                <w:noProof/>
                <w:webHidden/>
              </w:rPr>
              <w:t>20</w:t>
            </w:r>
            <w:r w:rsidR="00E002EC">
              <w:rPr>
                <w:noProof/>
                <w:webHidden/>
              </w:rPr>
              <w:fldChar w:fldCharType="end"/>
            </w:r>
          </w:hyperlink>
        </w:p>
        <w:p w14:paraId="21C78396" w14:textId="72E695B3"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55" w:history="1">
            <w:r w:rsidR="00E002EC" w:rsidRPr="00EF3B74">
              <w:rPr>
                <w:rStyle w:val="Hyperlink"/>
                <w:noProof/>
                <w:lang w:val="en-GB"/>
              </w:rPr>
              <w:t>Issues and challenges</w:t>
            </w:r>
            <w:r w:rsidR="00E002EC">
              <w:rPr>
                <w:noProof/>
                <w:webHidden/>
              </w:rPr>
              <w:tab/>
            </w:r>
            <w:r w:rsidR="00E002EC">
              <w:rPr>
                <w:noProof/>
                <w:webHidden/>
              </w:rPr>
              <w:fldChar w:fldCharType="begin"/>
            </w:r>
            <w:r w:rsidR="00E002EC">
              <w:rPr>
                <w:noProof/>
                <w:webHidden/>
              </w:rPr>
              <w:instrText xml:space="preserve"> PAGEREF _Toc133569855 \h </w:instrText>
            </w:r>
            <w:r w:rsidR="00E002EC">
              <w:rPr>
                <w:noProof/>
                <w:webHidden/>
              </w:rPr>
            </w:r>
            <w:r w:rsidR="00E002EC">
              <w:rPr>
                <w:noProof/>
                <w:webHidden/>
              </w:rPr>
              <w:fldChar w:fldCharType="separate"/>
            </w:r>
            <w:r w:rsidR="00E002EC">
              <w:rPr>
                <w:noProof/>
                <w:webHidden/>
              </w:rPr>
              <w:t>21</w:t>
            </w:r>
            <w:r w:rsidR="00E002EC">
              <w:rPr>
                <w:noProof/>
                <w:webHidden/>
              </w:rPr>
              <w:fldChar w:fldCharType="end"/>
            </w:r>
          </w:hyperlink>
        </w:p>
        <w:p w14:paraId="7E0FE0D6" w14:textId="7EF3DD06"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56" w:history="1">
            <w:r w:rsidR="00E002EC" w:rsidRPr="00EF3B74">
              <w:rPr>
                <w:rStyle w:val="Hyperlink"/>
                <w:noProof/>
              </w:rPr>
              <w:t>Quality and workforce development</w:t>
            </w:r>
            <w:r w:rsidR="00E002EC">
              <w:rPr>
                <w:noProof/>
                <w:webHidden/>
              </w:rPr>
              <w:tab/>
            </w:r>
            <w:r w:rsidR="00E002EC">
              <w:rPr>
                <w:noProof/>
                <w:webHidden/>
              </w:rPr>
              <w:fldChar w:fldCharType="begin"/>
            </w:r>
            <w:r w:rsidR="00E002EC">
              <w:rPr>
                <w:noProof/>
                <w:webHidden/>
              </w:rPr>
              <w:instrText xml:space="preserve"> PAGEREF _Toc133569856 \h </w:instrText>
            </w:r>
            <w:r w:rsidR="00E002EC">
              <w:rPr>
                <w:noProof/>
                <w:webHidden/>
              </w:rPr>
            </w:r>
            <w:r w:rsidR="00E002EC">
              <w:rPr>
                <w:noProof/>
                <w:webHidden/>
              </w:rPr>
              <w:fldChar w:fldCharType="separate"/>
            </w:r>
            <w:r w:rsidR="00E002EC">
              <w:rPr>
                <w:noProof/>
                <w:webHidden/>
              </w:rPr>
              <w:t>22</w:t>
            </w:r>
            <w:r w:rsidR="00E002EC">
              <w:rPr>
                <w:noProof/>
                <w:webHidden/>
              </w:rPr>
              <w:fldChar w:fldCharType="end"/>
            </w:r>
          </w:hyperlink>
        </w:p>
        <w:p w14:paraId="42317FA8" w14:textId="7DC8BF06"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57" w:history="1">
            <w:r w:rsidR="00E002EC" w:rsidRPr="00EF3B74">
              <w:rPr>
                <w:rStyle w:val="Hyperlink"/>
                <w:noProof/>
                <w:lang w:val="en-GB"/>
              </w:rPr>
              <w:t>Current approaches</w:t>
            </w:r>
            <w:r w:rsidR="00E002EC">
              <w:rPr>
                <w:noProof/>
                <w:webHidden/>
              </w:rPr>
              <w:tab/>
            </w:r>
            <w:r w:rsidR="00E002EC">
              <w:rPr>
                <w:noProof/>
                <w:webHidden/>
              </w:rPr>
              <w:fldChar w:fldCharType="begin"/>
            </w:r>
            <w:r w:rsidR="00E002EC">
              <w:rPr>
                <w:noProof/>
                <w:webHidden/>
              </w:rPr>
              <w:instrText xml:space="preserve"> PAGEREF _Toc133569857 \h </w:instrText>
            </w:r>
            <w:r w:rsidR="00E002EC">
              <w:rPr>
                <w:noProof/>
                <w:webHidden/>
              </w:rPr>
            </w:r>
            <w:r w:rsidR="00E002EC">
              <w:rPr>
                <w:noProof/>
                <w:webHidden/>
              </w:rPr>
              <w:fldChar w:fldCharType="separate"/>
            </w:r>
            <w:r w:rsidR="00E002EC">
              <w:rPr>
                <w:noProof/>
                <w:webHidden/>
              </w:rPr>
              <w:t>22</w:t>
            </w:r>
            <w:r w:rsidR="00E002EC">
              <w:rPr>
                <w:noProof/>
                <w:webHidden/>
              </w:rPr>
              <w:fldChar w:fldCharType="end"/>
            </w:r>
          </w:hyperlink>
        </w:p>
        <w:p w14:paraId="7FFB2B11" w14:textId="1FF6DC17"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58" w:history="1">
            <w:r w:rsidR="00E002EC" w:rsidRPr="00EF3B74">
              <w:rPr>
                <w:rStyle w:val="Hyperlink"/>
                <w:noProof/>
              </w:rPr>
              <w:t>Opportunities and strengths</w:t>
            </w:r>
            <w:r w:rsidR="00E002EC">
              <w:rPr>
                <w:noProof/>
                <w:webHidden/>
              </w:rPr>
              <w:tab/>
            </w:r>
            <w:r w:rsidR="00E002EC">
              <w:rPr>
                <w:noProof/>
                <w:webHidden/>
              </w:rPr>
              <w:fldChar w:fldCharType="begin"/>
            </w:r>
            <w:r w:rsidR="00E002EC">
              <w:rPr>
                <w:noProof/>
                <w:webHidden/>
              </w:rPr>
              <w:instrText xml:space="preserve"> PAGEREF _Toc133569858 \h </w:instrText>
            </w:r>
            <w:r w:rsidR="00E002EC">
              <w:rPr>
                <w:noProof/>
                <w:webHidden/>
              </w:rPr>
            </w:r>
            <w:r w:rsidR="00E002EC">
              <w:rPr>
                <w:noProof/>
                <w:webHidden/>
              </w:rPr>
              <w:fldChar w:fldCharType="separate"/>
            </w:r>
            <w:r w:rsidR="00E002EC">
              <w:rPr>
                <w:noProof/>
                <w:webHidden/>
              </w:rPr>
              <w:t>23</w:t>
            </w:r>
            <w:r w:rsidR="00E002EC">
              <w:rPr>
                <w:noProof/>
                <w:webHidden/>
              </w:rPr>
              <w:fldChar w:fldCharType="end"/>
            </w:r>
          </w:hyperlink>
        </w:p>
        <w:p w14:paraId="61B01F9D" w14:textId="245A392D" w:rsidR="00E002EC" w:rsidRDefault="00A83DBB">
          <w:pPr>
            <w:pStyle w:val="TOC3"/>
            <w:tabs>
              <w:tab w:val="right" w:leader="dot" w:pos="9628"/>
            </w:tabs>
            <w:rPr>
              <w:rFonts w:asciiTheme="minorHAnsi" w:eastAsiaTheme="minorEastAsia" w:hAnsiTheme="minorHAnsi" w:cstheme="minorBidi"/>
              <w:noProof/>
              <w:sz w:val="22"/>
              <w:lang w:val="en-GB" w:eastAsia="en-GB"/>
            </w:rPr>
          </w:pPr>
          <w:hyperlink w:anchor="_Toc133569859" w:history="1">
            <w:r w:rsidR="00E002EC" w:rsidRPr="00EF3B74">
              <w:rPr>
                <w:rStyle w:val="Hyperlink"/>
                <w:noProof/>
                <w:lang w:val="en-GB"/>
              </w:rPr>
              <w:t>Issues and challenges</w:t>
            </w:r>
            <w:r w:rsidR="00E002EC">
              <w:rPr>
                <w:noProof/>
                <w:webHidden/>
              </w:rPr>
              <w:tab/>
            </w:r>
            <w:r w:rsidR="00E002EC">
              <w:rPr>
                <w:noProof/>
                <w:webHidden/>
              </w:rPr>
              <w:fldChar w:fldCharType="begin"/>
            </w:r>
            <w:r w:rsidR="00E002EC">
              <w:rPr>
                <w:noProof/>
                <w:webHidden/>
              </w:rPr>
              <w:instrText xml:space="preserve"> PAGEREF _Toc133569859 \h </w:instrText>
            </w:r>
            <w:r w:rsidR="00E002EC">
              <w:rPr>
                <w:noProof/>
                <w:webHidden/>
              </w:rPr>
            </w:r>
            <w:r w:rsidR="00E002EC">
              <w:rPr>
                <w:noProof/>
                <w:webHidden/>
              </w:rPr>
              <w:fldChar w:fldCharType="separate"/>
            </w:r>
            <w:r w:rsidR="00E002EC">
              <w:rPr>
                <w:noProof/>
                <w:webHidden/>
              </w:rPr>
              <w:t>23</w:t>
            </w:r>
            <w:r w:rsidR="00E002EC">
              <w:rPr>
                <w:noProof/>
                <w:webHidden/>
              </w:rPr>
              <w:fldChar w:fldCharType="end"/>
            </w:r>
          </w:hyperlink>
        </w:p>
        <w:p w14:paraId="3CB9AE5D" w14:textId="258991D1" w:rsidR="00E002EC" w:rsidRDefault="00A83DBB">
          <w:pPr>
            <w:pStyle w:val="TOC1"/>
            <w:rPr>
              <w:rFonts w:asciiTheme="minorHAnsi" w:eastAsiaTheme="minorEastAsia" w:hAnsiTheme="minorHAnsi" w:cstheme="minorBidi"/>
              <w:sz w:val="22"/>
              <w:lang w:eastAsia="en-GB"/>
            </w:rPr>
          </w:pPr>
          <w:hyperlink w:anchor="_Toc133569860" w:history="1">
            <w:r w:rsidR="00E002EC" w:rsidRPr="00EF3B74">
              <w:rPr>
                <w:rStyle w:val="Hyperlink"/>
              </w:rPr>
              <w:t>Proposed areas for national action</w:t>
            </w:r>
            <w:r w:rsidR="00E002EC">
              <w:rPr>
                <w:webHidden/>
              </w:rPr>
              <w:tab/>
            </w:r>
            <w:r w:rsidR="00E002EC">
              <w:rPr>
                <w:webHidden/>
              </w:rPr>
              <w:fldChar w:fldCharType="begin"/>
            </w:r>
            <w:r w:rsidR="00E002EC">
              <w:rPr>
                <w:webHidden/>
              </w:rPr>
              <w:instrText xml:space="preserve"> PAGEREF _Toc133569860 \h </w:instrText>
            </w:r>
            <w:r w:rsidR="00E002EC">
              <w:rPr>
                <w:webHidden/>
              </w:rPr>
            </w:r>
            <w:r w:rsidR="00E002EC">
              <w:rPr>
                <w:webHidden/>
              </w:rPr>
              <w:fldChar w:fldCharType="separate"/>
            </w:r>
            <w:r w:rsidR="00E002EC">
              <w:rPr>
                <w:webHidden/>
              </w:rPr>
              <w:t>26</w:t>
            </w:r>
            <w:r w:rsidR="00E002EC">
              <w:rPr>
                <w:webHidden/>
              </w:rPr>
              <w:fldChar w:fldCharType="end"/>
            </w:r>
          </w:hyperlink>
        </w:p>
        <w:p w14:paraId="3A6307F1" w14:textId="7D2B910A"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61" w:history="1">
            <w:r w:rsidR="00E002EC" w:rsidRPr="00EF3B74">
              <w:rPr>
                <w:rStyle w:val="Hyperlink"/>
                <w:noProof/>
              </w:rPr>
              <w:t>Ensure parity of esteem on CTER</w:t>
            </w:r>
            <w:r w:rsidR="00E002EC">
              <w:rPr>
                <w:noProof/>
                <w:webHidden/>
              </w:rPr>
              <w:tab/>
            </w:r>
            <w:r w:rsidR="00E002EC">
              <w:rPr>
                <w:noProof/>
                <w:webHidden/>
              </w:rPr>
              <w:fldChar w:fldCharType="begin"/>
            </w:r>
            <w:r w:rsidR="00E002EC">
              <w:rPr>
                <w:noProof/>
                <w:webHidden/>
              </w:rPr>
              <w:instrText xml:space="preserve"> PAGEREF _Toc133569861 \h </w:instrText>
            </w:r>
            <w:r w:rsidR="00E002EC">
              <w:rPr>
                <w:noProof/>
                <w:webHidden/>
              </w:rPr>
            </w:r>
            <w:r w:rsidR="00E002EC">
              <w:rPr>
                <w:noProof/>
                <w:webHidden/>
              </w:rPr>
              <w:fldChar w:fldCharType="separate"/>
            </w:r>
            <w:r w:rsidR="00E002EC">
              <w:rPr>
                <w:noProof/>
                <w:webHidden/>
              </w:rPr>
              <w:t>26</w:t>
            </w:r>
            <w:r w:rsidR="00E002EC">
              <w:rPr>
                <w:noProof/>
                <w:webHidden/>
              </w:rPr>
              <w:fldChar w:fldCharType="end"/>
            </w:r>
          </w:hyperlink>
        </w:p>
        <w:p w14:paraId="04348072" w14:textId="2854C0FF"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62" w:history="1">
            <w:r w:rsidR="00E002EC" w:rsidRPr="00EF3B74">
              <w:rPr>
                <w:rStyle w:val="Hyperlink"/>
                <w:noProof/>
              </w:rPr>
              <w:t>Develop the adult learning infrastructure</w:t>
            </w:r>
            <w:r w:rsidR="00E002EC">
              <w:rPr>
                <w:noProof/>
                <w:webHidden/>
              </w:rPr>
              <w:tab/>
            </w:r>
            <w:r w:rsidR="00E002EC">
              <w:rPr>
                <w:noProof/>
                <w:webHidden/>
              </w:rPr>
              <w:fldChar w:fldCharType="begin"/>
            </w:r>
            <w:r w:rsidR="00E002EC">
              <w:rPr>
                <w:noProof/>
                <w:webHidden/>
              </w:rPr>
              <w:instrText xml:space="preserve"> PAGEREF _Toc133569862 \h </w:instrText>
            </w:r>
            <w:r w:rsidR="00E002EC">
              <w:rPr>
                <w:noProof/>
                <w:webHidden/>
              </w:rPr>
            </w:r>
            <w:r w:rsidR="00E002EC">
              <w:rPr>
                <w:noProof/>
                <w:webHidden/>
              </w:rPr>
              <w:fldChar w:fldCharType="separate"/>
            </w:r>
            <w:r w:rsidR="00E002EC">
              <w:rPr>
                <w:noProof/>
                <w:webHidden/>
              </w:rPr>
              <w:t>26</w:t>
            </w:r>
            <w:r w:rsidR="00E002EC">
              <w:rPr>
                <w:noProof/>
                <w:webHidden/>
              </w:rPr>
              <w:fldChar w:fldCharType="end"/>
            </w:r>
          </w:hyperlink>
        </w:p>
        <w:p w14:paraId="6D304B5C" w14:textId="554CC56E" w:rsidR="00E002EC" w:rsidRDefault="00A83DBB">
          <w:pPr>
            <w:pStyle w:val="TOC2"/>
            <w:tabs>
              <w:tab w:val="right" w:leader="dot" w:pos="9628"/>
            </w:tabs>
            <w:rPr>
              <w:rFonts w:asciiTheme="minorHAnsi" w:eastAsiaTheme="minorEastAsia" w:hAnsiTheme="minorHAnsi" w:cstheme="minorBidi"/>
              <w:noProof/>
              <w:sz w:val="22"/>
              <w:lang w:val="en-GB" w:eastAsia="en-GB"/>
            </w:rPr>
          </w:pPr>
          <w:hyperlink w:anchor="_Toc133569863" w:history="1">
            <w:r w:rsidR="00E002EC" w:rsidRPr="00EF3B74">
              <w:rPr>
                <w:rStyle w:val="Hyperlink"/>
                <w:noProof/>
              </w:rPr>
              <w:t>Reform funding for adult learning</w:t>
            </w:r>
            <w:r w:rsidR="00E002EC">
              <w:rPr>
                <w:noProof/>
                <w:webHidden/>
              </w:rPr>
              <w:tab/>
            </w:r>
            <w:r w:rsidR="00E002EC">
              <w:rPr>
                <w:noProof/>
                <w:webHidden/>
              </w:rPr>
              <w:fldChar w:fldCharType="begin"/>
            </w:r>
            <w:r w:rsidR="00E002EC">
              <w:rPr>
                <w:noProof/>
                <w:webHidden/>
              </w:rPr>
              <w:instrText xml:space="preserve"> PAGEREF _Toc133569863 \h </w:instrText>
            </w:r>
            <w:r w:rsidR="00E002EC">
              <w:rPr>
                <w:noProof/>
                <w:webHidden/>
              </w:rPr>
            </w:r>
            <w:r w:rsidR="00E002EC">
              <w:rPr>
                <w:noProof/>
                <w:webHidden/>
              </w:rPr>
              <w:fldChar w:fldCharType="separate"/>
            </w:r>
            <w:r w:rsidR="00E002EC">
              <w:rPr>
                <w:noProof/>
                <w:webHidden/>
              </w:rPr>
              <w:t>29</w:t>
            </w:r>
            <w:r w:rsidR="00E002EC">
              <w:rPr>
                <w:noProof/>
                <w:webHidden/>
              </w:rPr>
              <w:fldChar w:fldCharType="end"/>
            </w:r>
          </w:hyperlink>
        </w:p>
        <w:p w14:paraId="36B790B4" w14:textId="70C8003B" w:rsidR="00E002EC" w:rsidRDefault="00E002EC" w:rsidP="00E002EC">
          <w:r>
            <w:rPr>
              <w:b/>
              <w:bCs/>
              <w:noProof/>
            </w:rPr>
            <w:fldChar w:fldCharType="end"/>
          </w:r>
        </w:p>
      </w:sdtContent>
    </w:sdt>
    <w:p w14:paraId="3B372CD2" w14:textId="77777777" w:rsidR="00E002EC" w:rsidRDefault="00E002EC" w:rsidP="00E002EC">
      <w:pPr>
        <w:pStyle w:val="TOCHeading"/>
      </w:pPr>
    </w:p>
    <w:p w14:paraId="4EBF4F8D" w14:textId="77777777" w:rsidR="00E002EC" w:rsidRDefault="00E002EC" w:rsidP="00E002EC">
      <w:pPr>
        <w:pStyle w:val="LWTitle1"/>
      </w:pPr>
      <w:r>
        <w:br w:type="column"/>
      </w:r>
      <w:bookmarkStart w:id="0" w:name="_Toc133569838"/>
      <w:r>
        <w:lastRenderedPageBreak/>
        <w:t>About Learning and Work Institute</w:t>
      </w:r>
      <w:bookmarkEnd w:id="0"/>
    </w:p>
    <w:p w14:paraId="1C5BB735" w14:textId="77777777" w:rsidR="00E002EC" w:rsidRPr="007151C4" w:rsidRDefault="00E002EC" w:rsidP="00E002EC">
      <w:pPr>
        <w:pStyle w:val="LWBody"/>
      </w:pPr>
      <w:r w:rsidRPr="007151C4">
        <w:t>Learning and Work Institute is</w:t>
      </w:r>
      <w:r>
        <w:t xml:space="preserve"> an</w:t>
      </w:r>
      <w:r w:rsidRPr="007151C4">
        <w:t xml:space="preserve"> independent policy</w:t>
      </w:r>
      <w:r>
        <w:t>,</w:t>
      </w:r>
      <w:r w:rsidRPr="007151C4">
        <w:t xml:space="preserve"> research</w:t>
      </w:r>
      <w:r>
        <w:t xml:space="preserve"> and development</w:t>
      </w:r>
      <w:r w:rsidRPr="007151C4">
        <w:t xml:space="preserve"> organisation dedicated to lifelong learning, full employment and inclusion. </w:t>
      </w:r>
    </w:p>
    <w:p w14:paraId="05901DB6" w14:textId="77777777" w:rsidR="00E002EC" w:rsidRDefault="00E002EC" w:rsidP="00E002EC">
      <w:pPr>
        <w:pStyle w:val="LWBody"/>
      </w:pPr>
      <w:r w:rsidRPr="007151C4">
        <w:t>We research what works, develop new ways of thinking and implement new approaches. Working with partners, we transform people’s experiences of learning and employment. What we do benefits individuals, families, communities and the wider economy.</w:t>
      </w:r>
    </w:p>
    <w:p w14:paraId="04D07E1A" w14:textId="77777777" w:rsidR="00E002EC" w:rsidRPr="00D970C8" w:rsidRDefault="00E002EC" w:rsidP="00E002EC">
      <w:pPr>
        <w:pStyle w:val="LWBody"/>
      </w:pPr>
    </w:p>
    <w:p w14:paraId="4D825AA6" w14:textId="77777777" w:rsidR="00E002EC" w:rsidRPr="00E002EC" w:rsidRDefault="00E002EC" w:rsidP="00E002EC">
      <w:pPr>
        <w:pStyle w:val="LWTitle1"/>
      </w:pPr>
      <w:r w:rsidRPr="00620BD8">
        <w:br w:type="column"/>
      </w:r>
      <w:bookmarkStart w:id="1" w:name="_Toc133569839"/>
      <w:r w:rsidRPr="00E002EC">
        <w:lastRenderedPageBreak/>
        <w:t>Introduction</w:t>
      </w:r>
      <w:bookmarkEnd w:id="1"/>
    </w:p>
    <w:p w14:paraId="1CDC7CC8" w14:textId="77777777" w:rsidR="00E002EC" w:rsidRPr="00173623" w:rsidRDefault="00E002EC" w:rsidP="00E002EC">
      <w:pPr>
        <w:pStyle w:val="LWBody"/>
        <w:rPr>
          <w:bCs/>
        </w:rPr>
      </w:pPr>
      <w:r w:rsidRPr="00173623">
        <w:rPr>
          <w:bCs/>
        </w:rPr>
        <w:t>This report sets out findings of a study carried out by Learning &amp; Work Institute (L&amp;W) on behalf of Welsh Government into how adult learning is delivered through the Adult Learning Partnerships.  We undertook the work between January and March 2023.</w:t>
      </w:r>
    </w:p>
    <w:p w14:paraId="51ABBC67" w14:textId="77777777" w:rsidR="00E002EC" w:rsidRPr="00E002EC" w:rsidRDefault="00E002EC" w:rsidP="00E002EC">
      <w:pPr>
        <w:pStyle w:val="LWTitle2"/>
      </w:pPr>
      <w:bookmarkStart w:id="2" w:name="_Toc133414332"/>
      <w:bookmarkStart w:id="3" w:name="_Toc133569840"/>
      <w:r w:rsidRPr="00E002EC">
        <w:t>Aims of the study</w:t>
      </w:r>
      <w:bookmarkEnd w:id="2"/>
      <w:bookmarkEnd w:id="3"/>
    </w:p>
    <w:p w14:paraId="44679AA7" w14:textId="7A7452B5" w:rsidR="00E002EC" w:rsidRDefault="00E002EC" w:rsidP="00E002EC">
      <w:pPr>
        <w:pStyle w:val="LWBody"/>
        <w:rPr>
          <w:bCs/>
        </w:rPr>
      </w:pPr>
      <w:r w:rsidRPr="00173623">
        <w:rPr>
          <w:bCs/>
        </w:rPr>
        <w:t xml:space="preserve">The study is intended to inform </w:t>
      </w:r>
      <w:r>
        <w:rPr>
          <w:bCs/>
        </w:rPr>
        <w:t xml:space="preserve">consideration of </w:t>
      </w:r>
      <w:r w:rsidRPr="00173623">
        <w:rPr>
          <w:bCs/>
        </w:rPr>
        <w:t xml:space="preserve">what actions may be needed to strengthen the local delivery of adult learning </w:t>
      </w:r>
      <w:r>
        <w:rPr>
          <w:bCs/>
        </w:rPr>
        <w:t xml:space="preserve">to increase learner engagement and participation. It </w:t>
      </w:r>
      <w:r w:rsidRPr="00B72141">
        <w:rPr>
          <w:bCs/>
          <w:lang w:val="en-US"/>
        </w:rPr>
        <w:t>aim</w:t>
      </w:r>
      <w:r>
        <w:rPr>
          <w:bCs/>
          <w:lang w:val="en-US"/>
        </w:rPr>
        <w:t>s</w:t>
      </w:r>
      <w:r w:rsidRPr="00B72141">
        <w:rPr>
          <w:bCs/>
          <w:lang w:val="en-US"/>
        </w:rPr>
        <w:t xml:space="preserve"> </w:t>
      </w:r>
      <w:r>
        <w:rPr>
          <w:bCs/>
          <w:lang w:val="en-US"/>
        </w:rPr>
        <w:t xml:space="preserve">to assist with understanding </w:t>
      </w:r>
      <w:r w:rsidRPr="00B72141">
        <w:rPr>
          <w:bCs/>
          <w:lang w:val="en-US"/>
        </w:rPr>
        <w:t>how the overall system currently operates and provid</w:t>
      </w:r>
      <w:r>
        <w:rPr>
          <w:bCs/>
          <w:lang w:val="en-US"/>
        </w:rPr>
        <w:t>e</w:t>
      </w:r>
      <w:r w:rsidRPr="00B72141">
        <w:rPr>
          <w:bCs/>
          <w:lang w:val="en-US"/>
        </w:rPr>
        <w:t xml:space="preserve"> a basis on which to assess both the appetite and need for change.  </w:t>
      </w:r>
    </w:p>
    <w:p w14:paraId="55A4CD56" w14:textId="77777777" w:rsidR="00E002EC" w:rsidRPr="00173623" w:rsidRDefault="00E002EC" w:rsidP="00E002EC">
      <w:pPr>
        <w:pStyle w:val="LWBody"/>
        <w:rPr>
          <w:bCs/>
        </w:rPr>
      </w:pPr>
      <w:r>
        <w:rPr>
          <w:bCs/>
        </w:rPr>
        <w:t xml:space="preserve">It seeks to </w:t>
      </w:r>
      <w:r w:rsidRPr="00173623">
        <w:rPr>
          <w:bCs/>
        </w:rPr>
        <w:t>provid</w:t>
      </w:r>
      <w:r>
        <w:rPr>
          <w:bCs/>
        </w:rPr>
        <w:t>e</w:t>
      </w:r>
      <w:r w:rsidRPr="00173623">
        <w:rPr>
          <w:bCs/>
        </w:rPr>
        <w:t xml:space="preserve"> insights into:</w:t>
      </w:r>
    </w:p>
    <w:p w14:paraId="2E663FD3" w14:textId="77777777" w:rsidR="00E002EC" w:rsidRPr="00173623" w:rsidRDefault="00E002EC">
      <w:pPr>
        <w:pStyle w:val="LWBody"/>
        <w:numPr>
          <w:ilvl w:val="0"/>
          <w:numId w:val="3"/>
        </w:numPr>
        <w:rPr>
          <w:bCs/>
        </w:rPr>
      </w:pPr>
      <w:r w:rsidRPr="00173623">
        <w:rPr>
          <w:bCs/>
        </w:rPr>
        <w:t>What is broadly needed to support future expansion.</w:t>
      </w:r>
    </w:p>
    <w:p w14:paraId="23AB447E" w14:textId="77777777" w:rsidR="00E002EC" w:rsidRPr="00173623" w:rsidRDefault="00E002EC">
      <w:pPr>
        <w:pStyle w:val="LWBody"/>
        <w:numPr>
          <w:ilvl w:val="0"/>
          <w:numId w:val="3"/>
        </w:numPr>
        <w:rPr>
          <w:bCs/>
        </w:rPr>
      </w:pPr>
      <w:r w:rsidRPr="00173623">
        <w:rPr>
          <w:bCs/>
        </w:rPr>
        <w:t>What opportunities exist to share and learn from effective practice.</w:t>
      </w:r>
    </w:p>
    <w:p w14:paraId="7C6F4A25" w14:textId="77777777" w:rsidR="00E002EC" w:rsidRPr="00173623" w:rsidRDefault="00E002EC">
      <w:pPr>
        <w:pStyle w:val="LWBody"/>
        <w:numPr>
          <w:ilvl w:val="0"/>
          <w:numId w:val="3"/>
        </w:numPr>
        <w:rPr>
          <w:bCs/>
        </w:rPr>
      </w:pPr>
      <w:r w:rsidRPr="00173623">
        <w:rPr>
          <w:bCs/>
        </w:rPr>
        <w:t xml:space="preserve">Common challenges and how these could be addressed. </w:t>
      </w:r>
    </w:p>
    <w:p w14:paraId="547C6C5E" w14:textId="77777777" w:rsidR="00E002EC" w:rsidRPr="00B72141" w:rsidRDefault="00E002EC">
      <w:pPr>
        <w:pStyle w:val="LWBody"/>
        <w:numPr>
          <w:ilvl w:val="0"/>
          <w:numId w:val="3"/>
        </w:numPr>
        <w:rPr>
          <w:bCs/>
        </w:rPr>
      </w:pPr>
      <w:r w:rsidRPr="00173623">
        <w:rPr>
          <w:bCs/>
        </w:rPr>
        <w:t>What activities, if any, might be better placed to be developed at a regional/sub-regional or national level</w:t>
      </w:r>
    </w:p>
    <w:p w14:paraId="445646F6" w14:textId="0B3646C8" w:rsidR="00E002EC" w:rsidRDefault="00E002EC" w:rsidP="00E002EC">
      <w:pPr>
        <w:pStyle w:val="LWBody"/>
        <w:rPr>
          <w:bCs/>
        </w:rPr>
      </w:pPr>
      <w:r w:rsidRPr="00173623">
        <w:rPr>
          <w:bCs/>
        </w:rPr>
        <w:t xml:space="preserve">The strategic context for the work is a renewed emphasis in post-16 education and skills policy on promoting </w:t>
      </w:r>
      <w:r>
        <w:rPr>
          <w:bCs/>
        </w:rPr>
        <w:t xml:space="preserve">adult </w:t>
      </w:r>
      <w:r w:rsidRPr="00173623">
        <w:rPr>
          <w:bCs/>
        </w:rPr>
        <w:t xml:space="preserve">learning.  </w:t>
      </w:r>
      <w:r>
        <w:rPr>
          <w:bCs/>
        </w:rPr>
        <w:t xml:space="preserve">The </w:t>
      </w:r>
      <w:r w:rsidR="006E5D21">
        <w:rPr>
          <w:bCs/>
        </w:rPr>
        <w:t>Programme</w:t>
      </w:r>
      <w:r w:rsidR="006E5D21" w:rsidRPr="00173623">
        <w:rPr>
          <w:bCs/>
        </w:rPr>
        <w:t xml:space="preserve"> </w:t>
      </w:r>
      <w:r w:rsidRPr="00173623">
        <w:rPr>
          <w:bCs/>
        </w:rPr>
        <w:t>for Government</w:t>
      </w:r>
      <w:r>
        <w:rPr>
          <w:bCs/>
        </w:rPr>
        <w:t xml:space="preserve"> includes a commitment to increase adult participation in learning</w:t>
      </w:r>
      <w:r w:rsidRPr="00173623">
        <w:rPr>
          <w:bCs/>
        </w:rPr>
        <w:t>;</w:t>
      </w:r>
      <w:r w:rsidRPr="00173623">
        <w:rPr>
          <w:bCs/>
          <w:vertAlign w:val="superscript"/>
        </w:rPr>
        <w:footnoteReference w:id="2"/>
      </w:r>
      <w:r w:rsidRPr="00173623">
        <w:rPr>
          <w:bCs/>
        </w:rPr>
        <w:t xml:space="preserve"> </w:t>
      </w:r>
      <w:r>
        <w:rPr>
          <w:bCs/>
        </w:rPr>
        <w:t>w</w:t>
      </w:r>
      <w:r w:rsidRPr="00173623">
        <w:rPr>
          <w:bCs/>
        </w:rPr>
        <w:t xml:space="preserve">hile the new Commission for Tertiary Education and Research </w:t>
      </w:r>
      <w:r>
        <w:rPr>
          <w:bCs/>
        </w:rPr>
        <w:t>will have</w:t>
      </w:r>
      <w:r w:rsidRPr="00173623">
        <w:rPr>
          <w:bCs/>
        </w:rPr>
        <w:t xml:space="preserve"> a strategic duty to promote lifelong learning and to secure ‘proper facilities’ for eligible adult learners.  </w:t>
      </w:r>
      <w:r>
        <w:rPr>
          <w:bCs/>
        </w:rPr>
        <w:t>It is anticipated that t</w:t>
      </w:r>
      <w:r w:rsidRPr="00173623">
        <w:rPr>
          <w:bCs/>
        </w:rPr>
        <w:t>hese changes will act as powerful levers to advance Welsh Government’s commitment to making Wales a ‘second chance’ nation, where everyone can reach their potential and it is never too late to learn.</w:t>
      </w:r>
      <w:r>
        <w:rPr>
          <w:bCs/>
        </w:rPr>
        <w:t xml:space="preserve">  During the Covid-19 pandemic, the number of  learners and learning activities fell considerably, exacerbating a longer term decline in the number of adult learners on Welsh Government funded programmes.</w:t>
      </w:r>
      <w:bookmarkStart w:id="4" w:name="_Hlk131584017"/>
      <w:r>
        <w:rPr>
          <w:rStyle w:val="FootnoteReference"/>
          <w:bCs/>
        </w:rPr>
        <w:footnoteReference w:id="3"/>
      </w:r>
      <w:bookmarkEnd w:id="4"/>
      <w:r>
        <w:rPr>
          <w:bCs/>
        </w:rPr>
        <w:t xml:space="preserve">  While most Partnerships now report an increase in the numbers of adult learners enrolling on their courses, these remain below pre-pandemic levels.</w:t>
      </w:r>
      <w:r>
        <w:rPr>
          <w:rStyle w:val="FootnoteReference"/>
          <w:bCs/>
        </w:rPr>
        <w:footnoteReference w:id="4"/>
      </w:r>
      <w:r w:rsidRPr="00D86ABA">
        <w:rPr>
          <w:bCs/>
        </w:rPr>
        <w:t xml:space="preserve"> </w:t>
      </w:r>
      <w:r>
        <w:rPr>
          <w:bCs/>
        </w:rPr>
        <w:t xml:space="preserve"> As part of its support for the post-16 sector’s post-pandemic recovery, Welsh Government has provided two rounds of funding via local authority adult learning providers for activity specifically designed to re-engage with adult learners.  </w:t>
      </w:r>
    </w:p>
    <w:p w14:paraId="3CED2C06" w14:textId="77777777" w:rsidR="00E002EC" w:rsidRPr="00173623" w:rsidRDefault="00E002EC" w:rsidP="00E002EC">
      <w:pPr>
        <w:pStyle w:val="LWTitle2"/>
      </w:pPr>
      <w:bookmarkStart w:id="5" w:name="_Toc133414333"/>
      <w:bookmarkStart w:id="6" w:name="_Toc133569841"/>
      <w:r w:rsidRPr="00173623">
        <w:lastRenderedPageBreak/>
        <w:t>Our approach</w:t>
      </w:r>
      <w:bookmarkEnd w:id="5"/>
      <w:bookmarkEnd w:id="6"/>
    </w:p>
    <w:p w14:paraId="71BEC828" w14:textId="3C4617F6" w:rsidR="00E002EC" w:rsidRPr="00173623" w:rsidRDefault="00E002EC" w:rsidP="00E002EC">
      <w:pPr>
        <w:pStyle w:val="LWBody"/>
        <w:rPr>
          <w:bCs/>
        </w:rPr>
      </w:pPr>
      <w:r>
        <w:rPr>
          <w:bCs/>
        </w:rPr>
        <w:t xml:space="preserve">Welsh Government was clear that the study should be carried out in the spirit of an exploratory dialogue with the sector. This is reflected in our approach, which consists of </w:t>
      </w:r>
      <w:r w:rsidRPr="00173623">
        <w:rPr>
          <w:bCs/>
        </w:rPr>
        <w:t>the following stages:</w:t>
      </w:r>
    </w:p>
    <w:p w14:paraId="3F11888A" w14:textId="64186515" w:rsidR="00E002EC" w:rsidRDefault="00E002EC">
      <w:pPr>
        <w:pStyle w:val="LWBody"/>
        <w:numPr>
          <w:ilvl w:val="0"/>
          <w:numId w:val="4"/>
        </w:numPr>
        <w:rPr>
          <w:bCs/>
        </w:rPr>
      </w:pPr>
      <w:r w:rsidRPr="00173623">
        <w:rPr>
          <w:b/>
        </w:rPr>
        <w:t xml:space="preserve">Conversations with Partnership lead representatives and stakeholders </w:t>
      </w:r>
      <w:r w:rsidR="00D60A3A">
        <w:rPr>
          <w:b/>
        </w:rPr>
        <w:br/>
      </w:r>
      <w:r w:rsidRPr="00173623">
        <w:rPr>
          <w:bCs/>
        </w:rPr>
        <w:t xml:space="preserve">We held in-depth, semi-structured conversations with the chair, </w:t>
      </w:r>
      <w:r w:rsidR="0095633D" w:rsidRPr="00173623">
        <w:rPr>
          <w:bCs/>
        </w:rPr>
        <w:t>co-ordinator,</w:t>
      </w:r>
      <w:r w:rsidRPr="00173623">
        <w:rPr>
          <w:bCs/>
        </w:rPr>
        <w:t xml:space="preserve"> or other lead representative from each of the </w:t>
      </w:r>
      <w:r>
        <w:rPr>
          <w:bCs/>
        </w:rPr>
        <w:t>eleven</w:t>
      </w:r>
      <w:r w:rsidRPr="00173623">
        <w:rPr>
          <w:bCs/>
        </w:rPr>
        <w:t xml:space="preserve"> partnerships.</w:t>
      </w:r>
      <w:r>
        <w:rPr>
          <w:rStyle w:val="FootnoteReference"/>
          <w:bCs/>
        </w:rPr>
        <w:footnoteReference w:id="5"/>
      </w:r>
      <w:r w:rsidRPr="00173623">
        <w:rPr>
          <w:bCs/>
        </w:rPr>
        <w:t xml:space="preserve">  The conversations explored: partnership structures; how provision is planned to meet needs; promotion, </w:t>
      </w:r>
      <w:proofErr w:type="gramStart"/>
      <w:r w:rsidRPr="00173623">
        <w:rPr>
          <w:bCs/>
        </w:rPr>
        <w:t>outreach</w:t>
      </w:r>
      <w:proofErr w:type="gramEnd"/>
      <w:r w:rsidRPr="00173623">
        <w:rPr>
          <w:bCs/>
        </w:rPr>
        <w:t xml:space="preserve"> and learner engagement; delivery models; quality; the adult learning workforce; funding and sustainability; and priorities and strategy.</w:t>
      </w:r>
      <w:r>
        <w:rPr>
          <w:bCs/>
        </w:rPr>
        <w:t xml:space="preserve">  </w:t>
      </w:r>
      <w:r w:rsidRPr="00173623">
        <w:rPr>
          <w:bCs/>
        </w:rPr>
        <w:t xml:space="preserve">  </w:t>
      </w:r>
    </w:p>
    <w:p w14:paraId="1EAFE017" w14:textId="3BA5D63B" w:rsidR="00E002EC" w:rsidRPr="00173623" w:rsidRDefault="00E002EC" w:rsidP="00E002EC">
      <w:pPr>
        <w:pStyle w:val="LWBody"/>
        <w:ind w:left="720"/>
        <w:rPr>
          <w:bCs/>
        </w:rPr>
      </w:pPr>
      <w:r w:rsidRPr="00173623">
        <w:rPr>
          <w:bCs/>
        </w:rPr>
        <w:t xml:space="preserve">To allow us to access wider perspectives on the delivery of adult learning, we also spoke to a sample of five sector stakeholders, including provider representative bodies, HE partners, and Regional Skills Partnerships. </w:t>
      </w:r>
      <w:r>
        <w:rPr>
          <w:bCs/>
        </w:rPr>
        <w:t>Nine organisations were invited to</w:t>
      </w:r>
      <w:r w:rsidRPr="00173623">
        <w:rPr>
          <w:bCs/>
        </w:rPr>
        <w:t xml:space="preserve"> participate in the study</w:t>
      </w:r>
      <w:r>
        <w:rPr>
          <w:bCs/>
        </w:rPr>
        <w:t xml:space="preserve">, and the sample was based on those who could do so within the project timeframe. </w:t>
      </w:r>
    </w:p>
    <w:p w14:paraId="5C34908B" w14:textId="579A4B00" w:rsidR="00E002EC" w:rsidRPr="00173623" w:rsidRDefault="00E002EC">
      <w:pPr>
        <w:pStyle w:val="LWBody"/>
        <w:numPr>
          <w:ilvl w:val="0"/>
          <w:numId w:val="5"/>
        </w:numPr>
        <w:rPr>
          <w:bCs/>
        </w:rPr>
      </w:pPr>
      <w:r>
        <w:rPr>
          <w:b/>
        </w:rPr>
        <w:t xml:space="preserve">Analysis of emerging findings  </w:t>
      </w:r>
      <w:r w:rsidR="00D60A3A">
        <w:rPr>
          <w:b/>
        </w:rPr>
        <w:br/>
      </w:r>
      <w:r>
        <w:rPr>
          <w:bCs/>
        </w:rPr>
        <w:t xml:space="preserve">We conducted a thematic analysis of the evidence from our discussions with </w:t>
      </w:r>
      <w:r w:rsidR="007A30EB">
        <w:rPr>
          <w:bCs/>
        </w:rPr>
        <w:t>Partnership</w:t>
      </w:r>
      <w:r>
        <w:rPr>
          <w:bCs/>
        </w:rPr>
        <w:t xml:space="preserve"> representatives and wider stakeholders. This suggested that emerging findings fell into the following six broad areas: </w:t>
      </w:r>
      <w:bookmarkStart w:id="7" w:name="_Hlk131415335"/>
      <w:r>
        <w:rPr>
          <w:bCs/>
        </w:rPr>
        <w:t xml:space="preserve">Partnerships’ operating capacity; planning, funding and delivery of learning; marketing, promotion and engagement activity; quality; and workforce development; national actions to support adult learning. </w:t>
      </w:r>
    </w:p>
    <w:bookmarkEnd w:id="7"/>
    <w:p w14:paraId="679A1B8E" w14:textId="6811FFC6" w:rsidR="00E002EC" w:rsidRDefault="00E002EC">
      <w:pPr>
        <w:pStyle w:val="LWBody"/>
        <w:numPr>
          <w:ilvl w:val="0"/>
          <w:numId w:val="2"/>
        </w:numPr>
        <w:rPr>
          <w:bCs/>
        </w:rPr>
      </w:pPr>
      <w:r>
        <w:rPr>
          <w:b/>
        </w:rPr>
        <w:t xml:space="preserve">Partnerships’ webinar </w:t>
      </w:r>
      <w:r>
        <w:rPr>
          <w:bCs/>
        </w:rPr>
        <w:t xml:space="preserve"> </w:t>
      </w:r>
      <w:r w:rsidR="00D60A3A">
        <w:rPr>
          <w:bCs/>
        </w:rPr>
        <w:br/>
      </w:r>
      <w:r>
        <w:rPr>
          <w:bCs/>
        </w:rPr>
        <w:t>We invited Partnership leads who had participated in the initial conversations to a webinar to provide feedback on our emerging findings. The purpose of the webinar was twofold: to “sense check” the results of our analysis; and to provide a collective opportunity for participants to reflect on the questions we had posed and generate additional insights.</w:t>
      </w:r>
    </w:p>
    <w:p w14:paraId="1E20087B" w14:textId="77777777" w:rsidR="00E002EC" w:rsidRDefault="00E002EC" w:rsidP="00E002EC">
      <w:pPr>
        <w:pStyle w:val="LWTitle2"/>
      </w:pPr>
      <w:bookmarkStart w:id="8" w:name="_Toc133414334"/>
      <w:bookmarkStart w:id="9" w:name="_Toc133569842"/>
      <w:r>
        <w:t>Reporting</w:t>
      </w:r>
      <w:bookmarkEnd w:id="8"/>
      <w:bookmarkEnd w:id="9"/>
    </w:p>
    <w:p w14:paraId="4DF20DC1" w14:textId="77777777" w:rsidR="00E002EC" w:rsidRDefault="00E002EC" w:rsidP="00E002EC">
      <w:pPr>
        <w:pStyle w:val="LWBody"/>
      </w:pPr>
      <w:r>
        <w:t>Findings on how adult learning is delivered through the Partnerships are reported in five thematic sections:</w:t>
      </w:r>
    </w:p>
    <w:p w14:paraId="5A06925C" w14:textId="77777777" w:rsidR="00E002EC" w:rsidRDefault="00E002EC">
      <w:pPr>
        <w:pStyle w:val="LWBody"/>
        <w:numPr>
          <w:ilvl w:val="0"/>
          <w:numId w:val="5"/>
        </w:numPr>
        <w:rPr>
          <w:bCs/>
        </w:rPr>
      </w:pPr>
      <w:r w:rsidRPr="005E68F6">
        <w:rPr>
          <w:bCs/>
        </w:rPr>
        <w:t>Partnerships’ operating capacity</w:t>
      </w:r>
    </w:p>
    <w:p w14:paraId="4929A6D1" w14:textId="77777777" w:rsidR="00E002EC" w:rsidRDefault="00E002EC">
      <w:pPr>
        <w:pStyle w:val="LWBody"/>
        <w:numPr>
          <w:ilvl w:val="0"/>
          <w:numId w:val="5"/>
        </w:numPr>
        <w:rPr>
          <w:bCs/>
        </w:rPr>
      </w:pPr>
      <w:r>
        <w:rPr>
          <w:bCs/>
        </w:rPr>
        <w:t>Meeting local learning needs</w:t>
      </w:r>
    </w:p>
    <w:p w14:paraId="5DF18022" w14:textId="77777777" w:rsidR="00E002EC" w:rsidRDefault="00E002EC">
      <w:pPr>
        <w:pStyle w:val="LWBody"/>
        <w:numPr>
          <w:ilvl w:val="0"/>
          <w:numId w:val="5"/>
        </w:numPr>
        <w:rPr>
          <w:bCs/>
        </w:rPr>
      </w:pPr>
      <w:r>
        <w:rPr>
          <w:bCs/>
        </w:rPr>
        <w:lastRenderedPageBreak/>
        <w:t>M</w:t>
      </w:r>
      <w:r w:rsidRPr="005E68F6">
        <w:rPr>
          <w:bCs/>
        </w:rPr>
        <w:t>arketing</w:t>
      </w:r>
      <w:r>
        <w:rPr>
          <w:bCs/>
        </w:rPr>
        <w:t xml:space="preserve"> and</w:t>
      </w:r>
      <w:r w:rsidRPr="005E68F6">
        <w:rPr>
          <w:bCs/>
        </w:rPr>
        <w:t xml:space="preserve"> promotion</w:t>
      </w:r>
      <w:r>
        <w:rPr>
          <w:bCs/>
        </w:rPr>
        <w:t xml:space="preserve"> of learning</w:t>
      </w:r>
    </w:p>
    <w:p w14:paraId="14CD7AE3" w14:textId="77777777" w:rsidR="00E002EC" w:rsidRPr="005817EF" w:rsidRDefault="00E002EC">
      <w:pPr>
        <w:pStyle w:val="LWBody"/>
        <w:numPr>
          <w:ilvl w:val="0"/>
          <w:numId w:val="5"/>
        </w:numPr>
        <w:rPr>
          <w:bCs/>
        </w:rPr>
      </w:pPr>
      <w:r w:rsidRPr="005817EF">
        <w:rPr>
          <w:bCs/>
        </w:rPr>
        <w:t>Quality</w:t>
      </w:r>
      <w:r>
        <w:rPr>
          <w:bCs/>
        </w:rPr>
        <w:t xml:space="preserve"> and w</w:t>
      </w:r>
      <w:r w:rsidRPr="005817EF">
        <w:rPr>
          <w:bCs/>
        </w:rPr>
        <w:t xml:space="preserve">orkforce development. </w:t>
      </w:r>
    </w:p>
    <w:p w14:paraId="29F00479" w14:textId="77777777" w:rsidR="00E002EC" w:rsidRDefault="00E002EC" w:rsidP="00E002EC">
      <w:pPr>
        <w:pStyle w:val="LWBody"/>
        <w:rPr>
          <w:bCs/>
        </w:rPr>
      </w:pPr>
      <w:r>
        <w:rPr>
          <w:bCs/>
        </w:rPr>
        <w:t xml:space="preserve">Under each theme, we discuss what we found in terms of: current approaches; opportunities and strengths; and issues and challenges.  </w:t>
      </w:r>
    </w:p>
    <w:p w14:paraId="77E85DA9" w14:textId="0AAFCC6E" w:rsidR="00E002EC" w:rsidRDefault="00E002EC" w:rsidP="00E002EC">
      <w:pPr>
        <w:pStyle w:val="LWBody"/>
        <w:rPr>
          <w:bCs/>
        </w:rPr>
      </w:pPr>
      <w:r>
        <w:rPr>
          <w:bCs/>
        </w:rPr>
        <w:t xml:space="preserve">The final section draws out messages on national actions that Partnership representatives and stakeholders suggested would help to strengthen the role of the </w:t>
      </w:r>
      <w:r w:rsidR="00DC478E">
        <w:rPr>
          <w:bCs/>
        </w:rPr>
        <w:t>Partnerships</w:t>
      </w:r>
      <w:r>
        <w:rPr>
          <w:bCs/>
        </w:rPr>
        <w:t xml:space="preserve"> in delivering adult learning.</w:t>
      </w:r>
    </w:p>
    <w:p w14:paraId="285E1614" w14:textId="158E2CBE" w:rsidR="00E002EC" w:rsidRPr="00173623" w:rsidRDefault="00E002EC" w:rsidP="00E002EC">
      <w:pPr>
        <w:pStyle w:val="LWBody"/>
        <w:rPr>
          <w:bCs/>
        </w:rPr>
      </w:pPr>
      <w:r>
        <w:rPr>
          <w:bCs/>
        </w:rPr>
        <w:t xml:space="preserve">It is important to </w:t>
      </w:r>
      <w:r w:rsidRPr="00173623">
        <w:rPr>
          <w:bCs/>
        </w:rPr>
        <w:t>stress that th</w:t>
      </w:r>
      <w:r>
        <w:rPr>
          <w:bCs/>
        </w:rPr>
        <w:t xml:space="preserve">is is a fairly </w:t>
      </w:r>
      <w:r w:rsidR="00DC478E">
        <w:rPr>
          <w:bCs/>
        </w:rPr>
        <w:t>small-scale</w:t>
      </w:r>
      <w:r>
        <w:rPr>
          <w:bCs/>
        </w:rPr>
        <w:t xml:space="preserve"> study that was carried out with the aim of starting a conversation with the adult learning sector to inform future developments.  Findings are based largely on the views of one – occasionally two – individuals from each Partnership and show what they </w:t>
      </w:r>
      <w:r w:rsidRPr="00173623">
        <w:rPr>
          <w:bCs/>
        </w:rPr>
        <w:t>think</w:t>
      </w:r>
      <w:r>
        <w:rPr>
          <w:bCs/>
        </w:rPr>
        <w:t xml:space="preserve"> are</w:t>
      </w:r>
      <w:r w:rsidRPr="00173623">
        <w:rPr>
          <w:bCs/>
        </w:rPr>
        <w:t xml:space="preserve"> the issues and opportunities</w:t>
      </w:r>
      <w:r>
        <w:rPr>
          <w:bCs/>
        </w:rPr>
        <w:t xml:space="preserve"> facing the sector. It was not intended to be a critical review or an evaluation of effective practice.</w:t>
      </w:r>
    </w:p>
    <w:p w14:paraId="3C81D681" w14:textId="77777777" w:rsidR="00E002EC" w:rsidRDefault="00E002EC" w:rsidP="00E002EC">
      <w:pPr>
        <w:rPr>
          <w:rFonts w:ascii="Calibri" w:hAnsi="Calibri" w:cs="Calibri"/>
          <w:sz w:val="22"/>
        </w:rPr>
      </w:pPr>
    </w:p>
    <w:p w14:paraId="5C0EF983" w14:textId="4C6DC98F" w:rsidR="00E002EC" w:rsidRDefault="00E002EC" w:rsidP="00E002EC">
      <w:pPr>
        <w:pStyle w:val="LWTitle1"/>
      </w:pPr>
      <w:r>
        <w:br w:type="column"/>
      </w:r>
      <w:bookmarkStart w:id="10" w:name="_Toc133569843"/>
      <w:r>
        <w:lastRenderedPageBreak/>
        <w:t>How adult learning is delivered through the Partnerships</w:t>
      </w:r>
      <w:bookmarkEnd w:id="10"/>
      <w:r w:rsidR="003110C0">
        <w:br/>
      </w:r>
    </w:p>
    <w:p w14:paraId="458710F3" w14:textId="77777777" w:rsidR="00E002EC" w:rsidRDefault="00E002EC" w:rsidP="00E002EC">
      <w:pPr>
        <w:pStyle w:val="LWBody"/>
      </w:pPr>
      <w:r>
        <w:t xml:space="preserve">This chapter sets out our findings on current approaches, opportunities and challenges in relation to five key aspects of adult learning delivery: Partnership’s operating capacity; meeting local learning needs; marketing, promotion and engagement activity; quality and workforce development.  </w:t>
      </w:r>
    </w:p>
    <w:p w14:paraId="69A20581" w14:textId="4F1AECC1" w:rsidR="00E002EC" w:rsidRDefault="00E002EC" w:rsidP="00E002EC">
      <w:pPr>
        <w:pStyle w:val="LWBody"/>
      </w:pPr>
      <w:r>
        <w:t xml:space="preserve">It is worth emphasising at the outset that an overarching message from our conversations with participants is that no two Partnerships are alike. Across Wales, there are substantial variations in the activities and experiences of the different Partnerships, and the findings discussed below need to be viewed in that light. We have sought to make clear the extent to which the views we heard reflect differences of opinion or point to a more consistent message.  </w:t>
      </w:r>
    </w:p>
    <w:p w14:paraId="07BA0DCB" w14:textId="77777777" w:rsidR="00E002EC" w:rsidRDefault="00E002EC" w:rsidP="00E002EC">
      <w:pPr>
        <w:pStyle w:val="LWTitle2"/>
      </w:pPr>
      <w:bookmarkStart w:id="11" w:name="_Toc133414335"/>
      <w:bookmarkStart w:id="12" w:name="_Toc133569844"/>
      <w:r w:rsidRPr="008C31D7">
        <w:t>Partnerships’ operating capacity</w:t>
      </w:r>
      <w:bookmarkEnd w:id="11"/>
      <w:bookmarkEnd w:id="12"/>
    </w:p>
    <w:p w14:paraId="07AFD5C1" w14:textId="5B95F15F" w:rsidR="00E002EC" w:rsidRDefault="00E002EC" w:rsidP="00E002EC">
      <w:pPr>
        <w:pStyle w:val="LWBody"/>
      </w:pPr>
      <w:r>
        <w:t>Adult Learning Partnerships are intended to fulfil a central coordinating role for the delivery of adult learning in their local area. We asked participants how they are structured in order to perform this function, and how effective they feel their Partnersh</w:t>
      </w:r>
      <w:r w:rsidR="00DC478E">
        <w:t>ip</w:t>
      </w:r>
      <w:r w:rsidR="00BE71C6">
        <w:t>s</w:t>
      </w:r>
      <w:r>
        <w:t xml:space="preserve"> current internal arrangements are.  </w:t>
      </w:r>
    </w:p>
    <w:p w14:paraId="7FA7F8A5" w14:textId="77777777" w:rsidR="00E002EC" w:rsidRDefault="00E002EC" w:rsidP="00E002EC">
      <w:pPr>
        <w:pStyle w:val="LWTitle3"/>
        <w:rPr>
          <w:lang w:val="en-GB"/>
        </w:rPr>
      </w:pPr>
      <w:bookmarkStart w:id="13" w:name="_Toc133414336"/>
      <w:bookmarkStart w:id="14" w:name="_Toc133569845"/>
      <w:r w:rsidRPr="008C31D7">
        <w:rPr>
          <w:lang w:val="en-GB"/>
        </w:rPr>
        <w:t>Current approaches</w:t>
      </w:r>
      <w:bookmarkEnd w:id="13"/>
      <w:bookmarkEnd w:id="14"/>
    </w:p>
    <w:p w14:paraId="69FAC03C" w14:textId="56F98A31" w:rsidR="00E002EC" w:rsidRDefault="00E002EC" w:rsidP="00E002EC">
      <w:pPr>
        <w:pStyle w:val="LWBody"/>
        <w:rPr>
          <w:bCs/>
        </w:rPr>
      </w:pPr>
      <w:r>
        <w:rPr>
          <w:bCs/>
        </w:rPr>
        <w:t xml:space="preserve">There is no single or consistent operating model for Adult </w:t>
      </w:r>
      <w:r w:rsidR="00BE71C6">
        <w:rPr>
          <w:bCs/>
        </w:rPr>
        <w:t>Learning</w:t>
      </w:r>
      <w:r>
        <w:rPr>
          <w:bCs/>
        </w:rPr>
        <w:t xml:space="preserve"> Partnerships, with considerable variation being apparent in terms of both which organisations / services make up the membership and the structures and processes through which they work together.  All </w:t>
      </w:r>
      <w:r w:rsidR="00BE71C6">
        <w:rPr>
          <w:bCs/>
        </w:rPr>
        <w:t>Partnerships</w:t>
      </w:r>
      <w:r>
        <w:rPr>
          <w:bCs/>
        </w:rPr>
        <w:t xml:space="preserve"> are based on a core membership of the local authority or authorities and a college or group of colleges, with one of these partners acting as the lead. Beyond that, most Partnerships include Adult Learning Wales and third sector providers (often represented by the local CVS</w:t>
      </w:r>
      <w:r w:rsidR="00BF0A18">
        <w:rPr>
          <w:bCs/>
        </w:rPr>
        <w:t>) and</w:t>
      </w:r>
      <w:r>
        <w:rPr>
          <w:bCs/>
        </w:rPr>
        <w:t xml:space="preserve"> may also involve other wider partners such as universities, employability support services, </w:t>
      </w:r>
      <w:r w:rsidRPr="00CC21C7">
        <w:rPr>
          <w:bCs/>
        </w:rPr>
        <w:t xml:space="preserve">DWP, </w:t>
      </w:r>
      <w:r>
        <w:rPr>
          <w:bCs/>
        </w:rPr>
        <w:t xml:space="preserve">Learn Welsh, </w:t>
      </w:r>
      <w:r w:rsidRPr="00CC21C7">
        <w:rPr>
          <w:bCs/>
        </w:rPr>
        <w:t xml:space="preserve">Regional Skills </w:t>
      </w:r>
      <w:proofErr w:type="gramStart"/>
      <w:r w:rsidRPr="00CC21C7">
        <w:rPr>
          <w:bCs/>
        </w:rPr>
        <w:t>Partnership</w:t>
      </w:r>
      <w:r>
        <w:rPr>
          <w:bCs/>
        </w:rPr>
        <w:t>s</w:t>
      </w:r>
      <w:proofErr w:type="gramEnd"/>
      <w:r>
        <w:rPr>
          <w:bCs/>
        </w:rPr>
        <w:t xml:space="preserve"> and other public service providers.  </w:t>
      </w:r>
    </w:p>
    <w:p w14:paraId="53ADA605" w14:textId="6FFA396C" w:rsidR="00E002EC" w:rsidRPr="00CC21C7" w:rsidRDefault="00E002EC" w:rsidP="00E002EC">
      <w:pPr>
        <w:pStyle w:val="LWBody"/>
        <w:rPr>
          <w:bCs/>
          <w:u w:val="double"/>
        </w:rPr>
      </w:pPr>
      <w:r>
        <w:rPr>
          <w:bCs/>
        </w:rPr>
        <w:t xml:space="preserve">Ways of working are defined through a range of mechanisms, depending on what best reflects the relationships between partners and the scope of their intended joint working.  These include service level agreements (SLAs), terms of </w:t>
      </w:r>
      <w:r w:rsidR="00BE71C6">
        <w:rPr>
          <w:bCs/>
        </w:rPr>
        <w:t>reference</w:t>
      </w:r>
      <w:r>
        <w:rPr>
          <w:bCs/>
        </w:rPr>
        <w:t xml:space="preserve"> and strategic plans.  The kinds of activities covered by these arrangements is hugely varied and includes: schedule of </w:t>
      </w:r>
      <w:r w:rsidRPr="00F35884">
        <w:rPr>
          <w:bCs/>
        </w:rPr>
        <w:t>meetings</w:t>
      </w:r>
      <w:r>
        <w:rPr>
          <w:bCs/>
        </w:rPr>
        <w:t xml:space="preserve">; funding; planning provision to eliminate </w:t>
      </w:r>
      <w:r w:rsidR="00BE71C6">
        <w:rPr>
          <w:bCs/>
        </w:rPr>
        <w:t>duplication</w:t>
      </w:r>
      <w:r>
        <w:rPr>
          <w:bCs/>
        </w:rPr>
        <w:t xml:space="preserve">, address gaps and establish progression routes; quality; learner engagement; pastoral support; access to premises; and staff continuing professional development. To carry out their coordination activities, Partnerships convene and work through various groups and committees. A strategic group generally provides high-level leadership of the Partnership, with </w:t>
      </w:r>
      <w:r>
        <w:rPr>
          <w:bCs/>
        </w:rPr>
        <w:lastRenderedPageBreak/>
        <w:t xml:space="preserve">operational groups reporting into it which cover key areas of collaboration such as curriculum, quality, learner involvement, and Welsh language.   </w:t>
      </w:r>
    </w:p>
    <w:p w14:paraId="47C7010E" w14:textId="7639413A" w:rsidR="00E002EC" w:rsidRDefault="00E002EC" w:rsidP="00E002EC">
      <w:pPr>
        <w:pStyle w:val="LWBody"/>
        <w:rPr>
          <w:bCs/>
        </w:rPr>
      </w:pPr>
      <w:r>
        <w:rPr>
          <w:bCs/>
        </w:rPr>
        <w:t xml:space="preserve">A common theme mentioned by all participants was the need to re-establish a fully operational partnership in the wake of the pandemic, and they reported doing so with varying degrees of success so far. Some have been severely impacted, with Partnerships </w:t>
      </w:r>
      <w:r w:rsidRPr="00F35884">
        <w:rPr>
          <w:bCs/>
        </w:rPr>
        <w:t xml:space="preserve">that were previously active </w:t>
      </w:r>
      <w:r>
        <w:rPr>
          <w:bCs/>
        </w:rPr>
        <w:t xml:space="preserve">having </w:t>
      </w:r>
      <w:r w:rsidRPr="00F35884">
        <w:rPr>
          <w:bCs/>
        </w:rPr>
        <w:t xml:space="preserve">ceased to meet and </w:t>
      </w:r>
      <w:r>
        <w:rPr>
          <w:bCs/>
        </w:rPr>
        <w:t xml:space="preserve">now </w:t>
      </w:r>
      <w:r w:rsidRPr="00F35884">
        <w:rPr>
          <w:bCs/>
        </w:rPr>
        <w:t>struggl</w:t>
      </w:r>
      <w:r>
        <w:rPr>
          <w:bCs/>
        </w:rPr>
        <w:t>ing</w:t>
      </w:r>
      <w:r w:rsidRPr="00F35884">
        <w:rPr>
          <w:bCs/>
        </w:rPr>
        <w:t xml:space="preserve"> to regain engagement from partners.</w:t>
      </w:r>
    </w:p>
    <w:p w14:paraId="38805DDD" w14:textId="77777777" w:rsidR="00E002EC" w:rsidRDefault="00E002EC" w:rsidP="00E002EC">
      <w:pPr>
        <w:pStyle w:val="LWBody"/>
        <w:rPr>
          <w:bCs/>
        </w:rPr>
      </w:pPr>
      <w:r>
        <w:rPr>
          <w:bCs/>
        </w:rPr>
        <w:t>The following examples illustrate the breadth that is currently evident in the internal operation of the Partnerships.</w:t>
      </w:r>
    </w:p>
    <w:p w14:paraId="2F9DB0B7" w14:textId="76ED1DA3" w:rsidR="00E002EC" w:rsidRDefault="00E002EC">
      <w:pPr>
        <w:pStyle w:val="LWBody"/>
        <w:numPr>
          <w:ilvl w:val="0"/>
          <w:numId w:val="6"/>
        </w:numPr>
        <w:rPr>
          <w:bCs/>
        </w:rPr>
      </w:pPr>
      <w:r>
        <w:rPr>
          <w:bCs/>
        </w:rPr>
        <w:t xml:space="preserve">Pembrokeshire Adult Learning Partnership effectively ceased to operate during the pandemic and Learning Pembrokeshire, the local authority provider, is now leading work to re-establish it.  In late 2022, they began holding Partnership meetings with Pembrokeshire College, and a draft SLA has been prepared to formalise how they will work together. It includes provision for joint termly planning meetings, access to each other’s premises, joint advertising using Welsh Government </w:t>
      </w:r>
      <w:r w:rsidR="00BE71C6">
        <w:rPr>
          <w:bCs/>
        </w:rPr>
        <w:t>engagement</w:t>
      </w:r>
      <w:r>
        <w:rPr>
          <w:bCs/>
        </w:rPr>
        <w:t xml:space="preserve"> funding, and college support on matters such as safeguarding, pastoral support and student complaints. Once the SLA has been agreed and this bipartite arrangement is in place and has been tested, it is intended that the core partners will invite others to join the Partnership and grow it from there.  </w:t>
      </w:r>
    </w:p>
    <w:p w14:paraId="4F91369E" w14:textId="307C6EAF" w:rsidR="00E002EC" w:rsidRDefault="00E002EC">
      <w:pPr>
        <w:pStyle w:val="LWBody"/>
        <w:numPr>
          <w:ilvl w:val="0"/>
          <w:numId w:val="6"/>
        </w:numPr>
        <w:rPr>
          <w:bCs/>
        </w:rPr>
      </w:pPr>
      <w:r>
        <w:rPr>
          <w:bCs/>
        </w:rPr>
        <w:t xml:space="preserve">Swansea Adult Learning Partnership brings together Swansea Council’s Lifelong Learning Service and Gower College Swansea (which chairs the Partnership) with Adult Learning Wales, Swansea University, Trinity St David’s University, Swansea CVS and Learn Welsh Cymru. As the Partnership works to get back to full operating arrangements following the pandemic, it is focusing on strengthening collaboration between the existing seven partners. However, in the longer term it aims to re-engage other bodies which were formerly active partners, for example the prison service and housing associations. The Partnership is led by a strategy group, into which an operational group, quality group and Welsh language group all report. Each group has its own terms of reference. The strategic plan sets out high-level values and principles to which all partners can sign up.  </w:t>
      </w:r>
    </w:p>
    <w:p w14:paraId="10E938F2" w14:textId="40267ADE" w:rsidR="00E002EC" w:rsidRDefault="00E002EC">
      <w:pPr>
        <w:pStyle w:val="LWBody"/>
        <w:numPr>
          <w:ilvl w:val="0"/>
          <w:numId w:val="6"/>
        </w:numPr>
        <w:rPr>
          <w:bCs/>
        </w:rPr>
      </w:pPr>
      <w:r>
        <w:rPr>
          <w:bCs/>
        </w:rPr>
        <w:t xml:space="preserve">Neath Port Talbot and Powys Adult Learning Partnership was formed in June 2021 with the merger of the two separate Partnerships. Its core members are the two local authorities and NPT Group of Colleges. </w:t>
      </w:r>
      <w:r w:rsidRPr="00FB3484">
        <w:rPr>
          <w:bCs/>
        </w:rPr>
        <w:t>Other partners are:</w:t>
      </w:r>
      <w:r w:rsidRPr="00FB3484">
        <w:t xml:space="preserve"> </w:t>
      </w:r>
      <w:r w:rsidRPr="009B7624">
        <w:t>A</w:t>
      </w:r>
      <w:r>
        <w:t xml:space="preserve">dult </w:t>
      </w:r>
      <w:r w:rsidRPr="009B7624">
        <w:t>L</w:t>
      </w:r>
      <w:r>
        <w:t xml:space="preserve">earning </w:t>
      </w:r>
      <w:r w:rsidRPr="009B7624">
        <w:t>W</w:t>
      </w:r>
      <w:r>
        <w:t>ales,</w:t>
      </w:r>
      <w:r w:rsidRPr="009B7624">
        <w:t xml:space="preserve"> Swansea Univ</w:t>
      </w:r>
      <w:r>
        <w:t>ersity</w:t>
      </w:r>
      <w:r w:rsidRPr="009B7624">
        <w:t>, Aberystwyth Univ</w:t>
      </w:r>
      <w:r>
        <w:t>ersity</w:t>
      </w:r>
      <w:r w:rsidRPr="009B7624">
        <w:t xml:space="preserve">, </w:t>
      </w:r>
      <w:r>
        <w:t>the two</w:t>
      </w:r>
      <w:r w:rsidRPr="009B7624">
        <w:t xml:space="preserve"> CVS</w:t>
      </w:r>
      <w:r>
        <w:t>’</w:t>
      </w:r>
      <w:r w:rsidRPr="009B7624">
        <w:t>s, Learn Welsh,</w:t>
      </w:r>
      <w:r>
        <w:t xml:space="preserve"> an employer representative </w:t>
      </w:r>
      <w:r w:rsidR="00BE71C6">
        <w:t xml:space="preserve">and </w:t>
      </w:r>
      <w:r w:rsidR="00BE71C6" w:rsidRPr="009B7624">
        <w:t>DWP</w:t>
      </w:r>
      <w:r>
        <w:t>. NPTC G</w:t>
      </w:r>
      <w:r>
        <w:rPr>
          <w:bCs/>
        </w:rPr>
        <w:t xml:space="preserve">roup was a lead partner in the two previous Partnerships and was instrumental in facilitating the merger, and now chairs the merged Partnership. A merger was felt to be a way of bringing a more coherent strategic approach to planning provision across the whole geographical area, and of </w:t>
      </w:r>
      <w:r w:rsidRPr="00FB3484">
        <w:rPr>
          <w:bCs/>
        </w:rPr>
        <w:t>strength</w:t>
      </w:r>
      <w:r>
        <w:rPr>
          <w:bCs/>
        </w:rPr>
        <w:t xml:space="preserve">ening </w:t>
      </w:r>
      <w:r w:rsidR="00715136">
        <w:rPr>
          <w:bCs/>
        </w:rPr>
        <w:t>collaboration, s</w:t>
      </w:r>
      <w:r w:rsidR="00715136" w:rsidRPr="00FB3484">
        <w:rPr>
          <w:bCs/>
        </w:rPr>
        <w:t>haring</w:t>
      </w:r>
      <w:r w:rsidRPr="00FB3484">
        <w:rPr>
          <w:bCs/>
        </w:rPr>
        <w:t xml:space="preserve"> </w:t>
      </w:r>
      <w:r>
        <w:rPr>
          <w:bCs/>
        </w:rPr>
        <w:t>of resources and effective</w:t>
      </w:r>
      <w:r w:rsidRPr="00FB3484">
        <w:rPr>
          <w:bCs/>
        </w:rPr>
        <w:t xml:space="preserve"> practice.</w:t>
      </w:r>
      <w:r>
        <w:rPr>
          <w:bCs/>
        </w:rPr>
        <w:t xml:space="preserve"> The Partnership s</w:t>
      </w:r>
      <w:r w:rsidRPr="00FB3484">
        <w:rPr>
          <w:bCs/>
        </w:rPr>
        <w:t xml:space="preserve">tructure includes </w:t>
      </w:r>
      <w:r>
        <w:rPr>
          <w:bCs/>
        </w:rPr>
        <w:t xml:space="preserve">a </w:t>
      </w:r>
      <w:r w:rsidRPr="00FB3484">
        <w:rPr>
          <w:bCs/>
        </w:rPr>
        <w:t>strategic group</w:t>
      </w:r>
      <w:r>
        <w:rPr>
          <w:bCs/>
        </w:rPr>
        <w:t xml:space="preserve">, a </w:t>
      </w:r>
      <w:r w:rsidRPr="00FB3484">
        <w:rPr>
          <w:bCs/>
        </w:rPr>
        <w:t xml:space="preserve">curriculum and </w:t>
      </w:r>
      <w:r w:rsidRPr="00FB3484">
        <w:rPr>
          <w:bCs/>
        </w:rPr>
        <w:lastRenderedPageBreak/>
        <w:t xml:space="preserve">quality working group </w:t>
      </w:r>
      <w:r>
        <w:rPr>
          <w:bCs/>
        </w:rPr>
        <w:t>and a range of task &amp; finish groups</w:t>
      </w:r>
      <w:r w:rsidRPr="00FB3484">
        <w:rPr>
          <w:bCs/>
        </w:rPr>
        <w:t xml:space="preserve"> </w:t>
      </w:r>
      <w:r>
        <w:rPr>
          <w:bCs/>
        </w:rPr>
        <w:t xml:space="preserve">to take forward key actions. The focus of its work is defined in a </w:t>
      </w:r>
      <w:r w:rsidRPr="00FB3484">
        <w:rPr>
          <w:bCs/>
        </w:rPr>
        <w:t xml:space="preserve">vision and principles document which sets out aspirations for the </w:t>
      </w:r>
      <w:r>
        <w:rPr>
          <w:bCs/>
        </w:rPr>
        <w:t>P</w:t>
      </w:r>
      <w:r w:rsidRPr="00FB3484">
        <w:rPr>
          <w:bCs/>
        </w:rPr>
        <w:t xml:space="preserve">artnership, and </w:t>
      </w:r>
      <w:r>
        <w:rPr>
          <w:bCs/>
        </w:rPr>
        <w:t xml:space="preserve">an </w:t>
      </w:r>
      <w:r w:rsidRPr="00FB3484">
        <w:rPr>
          <w:bCs/>
        </w:rPr>
        <w:t xml:space="preserve">implementation plan with key </w:t>
      </w:r>
      <w:r>
        <w:rPr>
          <w:bCs/>
        </w:rPr>
        <w:t>milestones towards which partners are currently working.</w:t>
      </w:r>
    </w:p>
    <w:p w14:paraId="5E3A64D1" w14:textId="6BB0AB8E" w:rsidR="00E002EC" w:rsidRDefault="00E002EC">
      <w:pPr>
        <w:pStyle w:val="LWBody"/>
        <w:numPr>
          <w:ilvl w:val="0"/>
          <w:numId w:val="6"/>
        </w:numPr>
        <w:rPr>
          <w:bCs/>
        </w:rPr>
      </w:pPr>
      <w:r>
        <w:rPr>
          <w:bCs/>
        </w:rPr>
        <w:t>Cardiff and Vale Adult Learning Partnership is formed of the two local authorities of Cardiff and Vale of Glamorgan, Cardiff and Vale College and Adult Learning Wales, which work together to try and bring a regional approach to adult learning. These core partners make up the strategy group, which is chaired by the college’s vice principal. Operational groups for learner involvement, curriculum and progression, and data and quality</w:t>
      </w:r>
      <w:r w:rsidR="00A760DC">
        <w:rPr>
          <w:bCs/>
        </w:rPr>
        <w:t>,</w:t>
      </w:r>
      <w:r>
        <w:rPr>
          <w:bCs/>
        </w:rPr>
        <w:t xml:space="preserve"> report into the strategy group. The Partnership’s strategic plan is informed by the Regional Skills Partnership’s priorities and focuses on high-level actions to support delivery and progression. The four core partners have developed and agreed joint strategies and policies covering key areas such as safeguarding.  </w:t>
      </w:r>
    </w:p>
    <w:p w14:paraId="013A9C04" w14:textId="73B25E18" w:rsidR="00E002EC" w:rsidRDefault="00E002EC" w:rsidP="00E002EC">
      <w:pPr>
        <w:pStyle w:val="LWBody"/>
        <w:rPr>
          <w:bCs/>
        </w:rPr>
      </w:pPr>
      <w:r>
        <w:rPr>
          <w:bCs/>
        </w:rPr>
        <w:t>Those P</w:t>
      </w:r>
      <w:r w:rsidRPr="00F35884">
        <w:rPr>
          <w:bCs/>
        </w:rPr>
        <w:t xml:space="preserve">artnerships </w:t>
      </w:r>
      <w:r>
        <w:rPr>
          <w:bCs/>
        </w:rPr>
        <w:t>which reported that they are not strong and are still s</w:t>
      </w:r>
      <w:r w:rsidRPr="00F35884">
        <w:rPr>
          <w:bCs/>
        </w:rPr>
        <w:t xml:space="preserve">truggling </w:t>
      </w:r>
      <w:r>
        <w:rPr>
          <w:bCs/>
        </w:rPr>
        <w:t xml:space="preserve">to recover from the effects </w:t>
      </w:r>
      <w:r w:rsidR="00BE71C6">
        <w:rPr>
          <w:bCs/>
        </w:rPr>
        <w:t>of</w:t>
      </w:r>
      <w:r>
        <w:rPr>
          <w:bCs/>
        </w:rPr>
        <w:t xml:space="preserve"> the pandemic expressed a keen interest in sharing experiences and </w:t>
      </w:r>
      <w:r w:rsidRPr="00F35884">
        <w:rPr>
          <w:bCs/>
        </w:rPr>
        <w:t>learn</w:t>
      </w:r>
      <w:r>
        <w:rPr>
          <w:bCs/>
        </w:rPr>
        <w:t xml:space="preserve">ing from </w:t>
      </w:r>
      <w:r w:rsidRPr="00F35884">
        <w:rPr>
          <w:bCs/>
        </w:rPr>
        <w:t xml:space="preserve">those that </w:t>
      </w:r>
      <w:r>
        <w:rPr>
          <w:bCs/>
        </w:rPr>
        <w:t xml:space="preserve">offer </w:t>
      </w:r>
      <w:r w:rsidRPr="00F35884">
        <w:rPr>
          <w:bCs/>
        </w:rPr>
        <w:t xml:space="preserve">models of </w:t>
      </w:r>
      <w:r>
        <w:rPr>
          <w:bCs/>
        </w:rPr>
        <w:t xml:space="preserve">more </w:t>
      </w:r>
      <w:r w:rsidRPr="00F35884">
        <w:rPr>
          <w:bCs/>
        </w:rPr>
        <w:t xml:space="preserve">effective practice. </w:t>
      </w:r>
      <w:r>
        <w:rPr>
          <w:bCs/>
        </w:rPr>
        <w:t>They indicated that s</w:t>
      </w:r>
      <w:r w:rsidRPr="00F35884">
        <w:rPr>
          <w:bCs/>
        </w:rPr>
        <w:t xml:space="preserve">ome </w:t>
      </w:r>
      <w:r>
        <w:rPr>
          <w:bCs/>
        </w:rPr>
        <w:t xml:space="preserve">such </w:t>
      </w:r>
      <w:r w:rsidRPr="00F35884">
        <w:rPr>
          <w:bCs/>
        </w:rPr>
        <w:t>sharing is already taking place</w:t>
      </w:r>
      <w:r>
        <w:rPr>
          <w:bCs/>
        </w:rPr>
        <w:t xml:space="preserve"> informally with neighbouring Partnerships, for example in looking at how they have developed key documentation such as terms of reference for their operational groups.  </w:t>
      </w:r>
    </w:p>
    <w:p w14:paraId="4080031F" w14:textId="77777777" w:rsidR="00E002EC" w:rsidRDefault="00E002EC" w:rsidP="00E002EC">
      <w:pPr>
        <w:pStyle w:val="LWTitle3"/>
        <w:rPr>
          <w:lang w:val="en-GB"/>
        </w:rPr>
      </w:pPr>
      <w:bookmarkStart w:id="15" w:name="_Toc133414337"/>
      <w:bookmarkStart w:id="16" w:name="_Toc133569846"/>
      <w:r w:rsidRPr="008C31D7">
        <w:rPr>
          <w:lang w:val="en-GB"/>
        </w:rPr>
        <w:t>Opportunities and strengths</w:t>
      </w:r>
      <w:bookmarkEnd w:id="15"/>
      <w:bookmarkEnd w:id="16"/>
    </w:p>
    <w:p w14:paraId="0A04828D" w14:textId="1CD0B422" w:rsidR="00E002EC" w:rsidRDefault="00E002EC" w:rsidP="00E002EC">
      <w:pPr>
        <w:pStyle w:val="LWBody"/>
        <w:rPr>
          <w:bCs/>
        </w:rPr>
      </w:pPr>
      <w:r>
        <w:rPr>
          <w:bCs/>
        </w:rPr>
        <w:t>Participants generally pointed to the high level of trust between partners as a key strength of current arrangements. It is reflected in an ability to work well together and get things done. The following comment was typical:</w:t>
      </w:r>
    </w:p>
    <w:p w14:paraId="6A110255" w14:textId="77777777" w:rsidR="00E002EC" w:rsidRPr="005C749C" w:rsidRDefault="00E002EC" w:rsidP="00E002EC">
      <w:pPr>
        <w:pStyle w:val="LWBody"/>
        <w:ind w:left="567"/>
        <w:rPr>
          <w:bCs/>
          <w:i/>
          <w:iCs/>
        </w:rPr>
      </w:pPr>
      <w:r w:rsidRPr="005C749C">
        <w:rPr>
          <w:bCs/>
          <w:i/>
          <w:iCs/>
        </w:rPr>
        <w:t>The levels of trust and cooperation between the partners are excellent.</w:t>
      </w:r>
    </w:p>
    <w:p w14:paraId="2993700A" w14:textId="0D9B481C" w:rsidR="00E002EC" w:rsidRDefault="00E002EC" w:rsidP="00E002EC">
      <w:pPr>
        <w:pStyle w:val="LWBody"/>
        <w:rPr>
          <w:bCs/>
        </w:rPr>
      </w:pPr>
      <w:r>
        <w:rPr>
          <w:bCs/>
        </w:rPr>
        <w:t xml:space="preserve">Partnerships are often based on longstanding relationships. Even participants from Partnerships which are experiencing challenges in re-establishing their role post-Covid stressed the strong positive relationships that had previously characterised their work and the hope that these would continue to offer a solid foundation on which to develop. Where mergers have taken place between Partnerships, the process has included specific activities to build shared understanding and collaboration: </w:t>
      </w:r>
    </w:p>
    <w:p w14:paraId="183DFE76" w14:textId="2BB4A9FA" w:rsidR="00E002EC" w:rsidRDefault="00E002EC" w:rsidP="00E002EC">
      <w:pPr>
        <w:pStyle w:val="LWBody"/>
        <w:ind w:left="567"/>
        <w:rPr>
          <w:bCs/>
          <w:i/>
          <w:iCs/>
        </w:rPr>
      </w:pPr>
      <w:r w:rsidRPr="005C749C">
        <w:rPr>
          <w:bCs/>
          <w:i/>
          <w:iCs/>
        </w:rPr>
        <w:t xml:space="preserve">We brought in an external consultant to facilitate two quite long workshops to develop what we call our quality standards for recruitment, progression and engaging adult learners across the partnership. So collectively through those workshops, we set aspirational goals as to what </w:t>
      </w:r>
      <w:r w:rsidR="002C4EC2">
        <w:rPr>
          <w:bCs/>
          <w:i/>
          <w:iCs/>
        </w:rPr>
        <w:t>we are trying</w:t>
      </w:r>
      <w:r w:rsidRPr="005C749C">
        <w:rPr>
          <w:bCs/>
          <w:i/>
          <w:iCs/>
        </w:rPr>
        <w:t xml:space="preserve"> to achieve for our learners</w:t>
      </w:r>
      <w:r>
        <w:rPr>
          <w:bCs/>
          <w:i/>
          <w:iCs/>
        </w:rPr>
        <w:t>.</w:t>
      </w:r>
    </w:p>
    <w:p w14:paraId="1D57ABA4" w14:textId="77777777" w:rsidR="00E002EC" w:rsidRPr="00AF7440" w:rsidRDefault="00E002EC" w:rsidP="00E002EC">
      <w:pPr>
        <w:pStyle w:val="LWBody"/>
        <w:rPr>
          <w:bCs/>
        </w:rPr>
      </w:pPr>
      <w:r>
        <w:rPr>
          <w:bCs/>
        </w:rPr>
        <w:lastRenderedPageBreak/>
        <w:t>In particular, participants emphasised the importance of building trust between senior leaders in partner local authorities and getting buy-in from elected members.</w:t>
      </w:r>
      <w:r>
        <w:rPr>
          <w:rStyle w:val="FootnoteReference"/>
          <w:bCs/>
        </w:rPr>
        <w:footnoteReference w:id="6"/>
      </w:r>
      <w:r>
        <w:rPr>
          <w:bCs/>
        </w:rPr>
        <w:t xml:space="preserve"> </w:t>
      </w:r>
    </w:p>
    <w:p w14:paraId="476083F3" w14:textId="600040F9" w:rsidR="00E002EC" w:rsidRDefault="00E002EC" w:rsidP="00E002EC">
      <w:pPr>
        <w:pStyle w:val="LWBody"/>
        <w:rPr>
          <w:bCs/>
        </w:rPr>
      </w:pPr>
      <w:r>
        <w:rPr>
          <w:bCs/>
        </w:rPr>
        <w:t xml:space="preserve">The comments of many participants suggest that the degree of involvement of college partners can be an important factor affecting their Partnerships’ operational capacity. Our discussions identified numerous examples of ways in which some Partnerships draw on college partners’ substantial infrastructure to access expertise, </w:t>
      </w:r>
      <w:proofErr w:type="gramStart"/>
      <w:r>
        <w:rPr>
          <w:bCs/>
        </w:rPr>
        <w:t>services</w:t>
      </w:r>
      <w:proofErr w:type="gramEnd"/>
      <w:r>
        <w:rPr>
          <w:bCs/>
        </w:rPr>
        <w:t xml:space="preserve"> and support to strengthen their work.  </w:t>
      </w:r>
    </w:p>
    <w:p w14:paraId="5CB2E528" w14:textId="77777777" w:rsidR="00E002EC" w:rsidRPr="0083453A" w:rsidRDefault="00E002EC" w:rsidP="00E002EC">
      <w:pPr>
        <w:pStyle w:val="LWBody"/>
        <w:ind w:left="567"/>
        <w:rPr>
          <w:bCs/>
          <w:i/>
          <w:iCs/>
        </w:rPr>
      </w:pPr>
      <w:r w:rsidRPr="0083453A">
        <w:rPr>
          <w:bCs/>
          <w:i/>
          <w:iCs/>
        </w:rPr>
        <w:t>It is an effective partnership backed up by a good college.</w:t>
      </w:r>
    </w:p>
    <w:p w14:paraId="560E0E3D" w14:textId="77777777" w:rsidR="00E002EC" w:rsidRDefault="00E002EC" w:rsidP="00E002EC">
      <w:pPr>
        <w:pStyle w:val="LWBody"/>
        <w:rPr>
          <w:bCs/>
        </w:rPr>
      </w:pPr>
      <w:r>
        <w:rPr>
          <w:bCs/>
        </w:rPr>
        <w:t>Key areas where colleges provide access to additional capacity include:</w:t>
      </w:r>
    </w:p>
    <w:p w14:paraId="74452AC6" w14:textId="77777777" w:rsidR="00E002EC" w:rsidRDefault="00E002EC">
      <w:pPr>
        <w:pStyle w:val="LWBody"/>
        <w:numPr>
          <w:ilvl w:val="0"/>
          <w:numId w:val="7"/>
        </w:numPr>
        <w:rPr>
          <w:bCs/>
        </w:rPr>
      </w:pPr>
      <w:r>
        <w:rPr>
          <w:bCs/>
        </w:rPr>
        <w:t xml:space="preserve">Data management </w:t>
      </w:r>
    </w:p>
    <w:p w14:paraId="1C86EE5C" w14:textId="77777777" w:rsidR="00E002EC" w:rsidRDefault="00E002EC">
      <w:pPr>
        <w:pStyle w:val="LWBody"/>
        <w:numPr>
          <w:ilvl w:val="0"/>
          <w:numId w:val="7"/>
        </w:numPr>
        <w:rPr>
          <w:bCs/>
        </w:rPr>
      </w:pPr>
      <w:r>
        <w:rPr>
          <w:bCs/>
        </w:rPr>
        <w:t>Management of funding</w:t>
      </w:r>
    </w:p>
    <w:p w14:paraId="7F72FFC8" w14:textId="77777777" w:rsidR="00E002EC" w:rsidRDefault="00E002EC">
      <w:pPr>
        <w:pStyle w:val="LWBody"/>
        <w:numPr>
          <w:ilvl w:val="0"/>
          <w:numId w:val="7"/>
        </w:numPr>
        <w:rPr>
          <w:bCs/>
        </w:rPr>
      </w:pPr>
      <w:r>
        <w:rPr>
          <w:bCs/>
        </w:rPr>
        <w:t>Workforce training and development</w:t>
      </w:r>
    </w:p>
    <w:p w14:paraId="79CB9CFB" w14:textId="77777777" w:rsidR="00E002EC" w:rsidRDefault="00E002EC">
      <w:pPr>
        <w:pStyle w:val="LWBody"/>
        <w:numPr>
          <w:ilvl w:val="0"/>
          <w:numId w:val="7"/>
        </w:numPr>
        <w:rPr>
          <w:bCs/>
        </w:rPr>
      </w:pPr>
      <w:r>
        <w:rPr>
          <w:bCs/>
        </w:rPr>
        <w:t>Quality systems and processes</w:t>
      </w:r>
    </w:p>
    <w:p w14:paraId="135236CF" w14:textId="77777777" w:rsidR="00E002EC" w:rsidRDefault="00E002EC" w:rsidP="00E002EC">
      <w:pPr>
        <w:pStyle w:val="LWBody"/>
        <w:rPr>
          <w:bCs/>
        </w:rPr>
      </w:pPr>
      <w:r>
        <w:rPr>
          <w:bCs/>
        </w:rPr>
        <w:t xml:space="preserve">These are discussed in more detail in the relevant sections below.  </w:t>
      </w:r>
    </w:p>
    <w:p w14:paraId="540D4CC9" w14:textId="77777777" w:rsidR="00E002EC" w:rsidRDefault="00E002EC" w:rsidP="00E002EC">
      <w:pPr>
        <w:pStyle w:val="LWTitle3"/>
        <w:rPr>
          <w:lang w:val="en-GB"/>
        </w:rPr>
      </w:pPr>
      <w:bookmarkStart w:id="17" w:name="_Toc133414338"/>
      <w:bookmarkStart w:id="18" w:name="_Toc133569847"/>
      <w:r w:rsidRPr="008C31D7">
        <w:rPr>
          <w:lang w:val="en-GB"/>
        </w:rPr>
        <w:t>Issues and challenges</w:t>
      </w:r>
      <w:bookmarkEnd w:id="17"/>
      <w:bookmarkEnd w:id="18"/>
    </w:p>
    <w:p w14:paraId="1D478D98" w14:textId="726AFB0B" w:rsidR="00E002EC" w:rsidRDefault="00E002EC" w:rsidP="00E002EC">
      <w:pPr>
        <w:pStyle w:val="LWBody"/>
        <w:rPr>
          <w:bCs/>
        </w:rPr>
      </w:pPr>
      <w:r>
        <w:rPr>
          <w:bCs/>
        </w:rPr>
        <w:t xml:space="preserve">Participants identified a range of specific issues which currently hamper some </w:t>
      </w:r>
      <w:r w:rsidR="002C4EC2">
        <w:rPr>
          <w:bCs/>
        </w:rPr>
        <w:t xml:space="preserve">of </w:t>
      </w:r>
      <w:r>
        <w:rPr>
          <w:bCs/>
        </w:rPr>
        <w:t>their operating capacity. For some Partnerships, these clearly present significant challenges.</w:t>
      </w:r>
    </w:p>
    <w:p w14:paraId="5D0FBA23" w14:textId="0D2DBECC" w:rsidR="00E002EC" w:rsidRPr="006B5ED5" w:rsidRDefault="00E002EC">
      <w:pPr>
        <w:pStyle w:val="LWBody"/>
        <w:numPr>
          <w:ilvl w:val="0"/>
          <w:numId w:val="9"/>
        </w:numPr>
        <w:rPr>
          <w:bCs/>
        </w:rPr>
      </w:pPr>
      <w:r w:rsidRPr="00AD5B1A">
        <w:rPr>
          <w:bCs/>
        </w:rPr>
        <w:t>The</w:t>
      </w:r>
      <w:r>
        <w:rPr>
          <w:bCs/>
        </w:rPr>
        <w:t xml:space="preserve"> overall Partnership model was felt by some to be problematic as it currently operates. There is not a</w:t>
      </w:r>
      <w:r w:rsidRPr="00AD5B1A">
        <w:rPr>
          <w:bCs/>
        </w:rPr>
        <w:t xml:space="preserve"> consistent, clearly articulated expectation about which organisations and services will be involved with the Partnerships, and the level and type of engagement that different partners will </w:t>
      </w:r>
      <w:r w:rsidR="00BE71C6" w:rsidRPr="00AD5B1A">
        <w:rPr>
          <w:bCs/>
        </w:rPr>
        <w:t>have.</w:t>
      </w:r>
      <w:r w:rsidRPr="00AD5B1A">
        <w:rPr>
          <w:bCs/>
        </w:rPr>
        <w:t xml:space="preserve"> </w:t>
      </w:r>
      <w:r>
        <w:rPr>
          <w:bCs/>
        </w:rPr>
        <w:t xml:space="preserve">Participants </w:t>
      </w:r>
      <w:r w:rsidRPr="00AD5B1A">
        <w:rPr>
          <w:bCs/>
        </w:rPr>
        <w:t xml:space="preserve">suggested that it can lead to gaps in membership and weak </w:t>
      </w:r>
      <w:r w:rsidR="00175A3D" w:rsidRPr="00AD5B1A">
        <w:rPr>
          <w:bCs/>
        </w:rPr>
        <w:t>engagement and</w:t>
      </w:r>
      <w:r w:rsidRPr="00AD5B1A">
        <w:rPr>
          <w:bCs/>
        </w:rPr>
        <w:t xml:space="preserve"> can make it difficult to bring organisations into the Partnership which are not already engaged. </w:t>
      </w:r>
      <w:r w:rsidR="00BE71C6">
        <w:rPr>
          <w:bCs/>
        </w:rPr>
        <w:t xml:space="preserve">Individual </w:t>
      </w:r>
      <w:r>
        <w:rPr>
          <w:bCs/>
          <w:lang w:val="en-US"/>
        </w:rPr>
        <w:t>Partnerships are generally at the mercy of local circumstances, and in particular the degree of engagement and support which they can draw on from a college. One participant said:</w:t>
      </w:r>
    </w:p>
    <w:p w14:paraId="3F64BA37" w14:textId="03EA9F24" w:rsidR="00E002EC" w:rsidRDefault="00E002EC" w:rsidP="00E002EC">
      <w:pPr>
        <w:pStyle w:val="LWBody"/>
        <w:ind w:left="709"/>
        <w:rPr>
          <w:bCs/>
        </w:rPr>
      </w:pPr>
      <w:r w:rsidRPr="00BA2F38">
        <w:rPr>
          <w:bCs/>
          <w:i/>
          <w:iCs/>
        </w:rPr>
        <w:t xml:space="preserve">We sit on the regular monthly meetings with the other </w:t>
      </w:r>
      <w:r w:rsidR="002C4EC2" w:rsidRPr="00BA2F38">
        <w:rPr>
          <w:bCs/>
          <w:i/>
          <w:iCs/>
        </w:rPr>
        <w:t>Partnerships,</w:t>
      </w:r>
      <w:r w:rsidRPr="00BA2F38">
        <w:rPr>
          <w:bCs/>
          <w:i/>
          <w:iCs/>
        </w:rPr>
        <w:t xml:space="preserve"> and you can just hear the challenges that they are facing a</w:t>
      </w:r>
      <w:r>
        <w:rPr>
          <w:bCs/>
          <w:i/>
          <w:iCs/>
        </w:rPr>
        <w:t>round</w:t>
      </w:r>
      <w:r w:rsidRPr="00BA2F38">
        <w:rPr>
          <w:bCs/>
          <w:i/>
          <w:iCs/>
        </w:rPr>
        <w:t xml:space="preserve"> getting people to meet, be</w:t>
      </w:r>
      <w:r>
        <w:rPr>
          <w:bCs/>
          <w:i/>
          <w:iCs/>
        </w:rPr>
        <w:t>i</w:t>
      </w:r>
      <w:r w:rsidRPr="00BA2F38">
        <w:rPr>
          <w:bCs/>
          <w:i/>
          <w:iCs/>
        </w:rPr>
        <w:t xml:space="preserve">ng able to cost out their provision and monitor </w:t>
      </w:r>
      <w:r w:rsidR="00BE71C6" w:rsidRPr="00BA2F38">
        <w:rPr>
          <w:bCs/>
          <w:i/>
          <w:iCs/>
        </w:rPr>
        <w:t>spend, not</w:t>
      </w:r>
      <w:r w:rsidRPr="00BA2F38">
        <w:rPr>
          <w:bCs/>
          <w:i/>
          <w:iCs/>
        </w:rPr>
        <w:t xml:space="preserve"> understanding outcomes and data. You can hear those challenges and it's quite </w:t>
      </w:r>
      <w:r w:rsidR="00BE71C6" w:rsidRPr="00BA2F38">
        <w:rPr>
          <w:bCs/>
          <w:i/>
          <w:iCs/>
        </w:rPr>
        <w:t>heart-breaking</w:t>
      </w:r>
      <w:r w:rsidRPr="00BA2F38">
        <w:rPr>
          <w:bCs/>
          <w:i/>
          <w:iCs/>
        </w:rPr>
        <w:t xml:space="preserve"> really to know that they need the </w:t>
      </w:r>
      <w:r w:rsidR="00AC2637" w:rsidRPr="00BA2F38">
        <w:rPr>
          <w:bCs/>
          <w:i/>
          <w:iCs/>
        </w:rPr>
        <w:t>support,</w:t>
      </w:r>
      <w:r w:rsidRPr="00BA2F38">
        <w:rPr>
          <w:bCs/>
          <w:i/>
          <w:iCs/>
        </w:rPr>
        <w:t xml:space="preserve"> and they haven't got the support of their local </w:t>
      </w:r>
      <w:r>
        <w:rPr>
          <w:bCs/>
          <w:i/>
          <w:iCs/>
        </w:rPr>
        <w:t>c</w:t>
      </w:r>
      <w:r w:rsidRPr="00BA2F38">
        <w:rPr>
          <w:bCs/>
          <w:i/>
          <w:iCs/>
        </w:rPr>
        <w:t>ollege in some cases to do that.</w:t>
      </w:r>
    </w:p>
    <w:p w14:paraId="1648A03B" w14:textId="1929FFCA" w:rsidR="00E002EC" w:rsidRDefault="00E002EC">
      <w:pPr>
        <w:pStyle w:val="LWBody"/>
        <w:numPr>
          <w:ilvl w:val="0"/>
          <w:numId w:val="8"/>
        </w:numPr>
        <w:rPr>
          <w:bCs/>
        </w:rPr>
      </w:pPr>
      <w:r>
        <w:rPr>
          <w:bCs/>
        </w:rPr>
        <w:lastRenderedPageBreak/>
        <w:t xml:space="preserve">Restructuring and staffing reductions in partner organisations in the wake of Covid have resulted in changes of personnel and a lack of staffing capacity to engage fully with the Partnership. This presents a particular challenge with regard to engagement of Third Sector organisations.  </w:t>
      </w:r>
    </w:p>
    <w:p w14:paraId="7B37BF83" w14:textId="77777777" w:rsidR="00E002EC" w:rsidRDefault="00E002EC">
      <w:pPr>
        <w:pStyle w:val="LWBody"/>
        <w:numPr>
          <w:ilvl w:val="0"/>
          <w:numId w:val="8"/>
        </w:numPr>
        <w:rPr>
          <w:bCs/>
        </w:rPr>
      </w:pPr>
      <w:r>
        <w:rPr>
          <w:bCs/>
        </w:rPr>
        <w:t xml:space="preserve">Related to the above point, staffing reductions in some partner organisations mean that they can devote only limited resource to the work of Partnerships, which are consequently reliant on the time and commitment of a small number of individuals to maintain and develop activity.  </w:t>
      </w:r>
    </w:p>
    <w:p w14:paraId="24BAFAC1" w14:textId="7B46A2E6" w:rsidR="00E002EC" w:rsidRPr="0054113F" w:rsidRDefault="00E002EC">
      <w:pPr>
        <w:pStyle w:val="LWBody"/>
        <w:numPr>
          <w:ilvl w:val="0"/>
          <w:numId w:val="8"/>
        </w:numPr>
        <w:rPr>
          <w:bCs/>
        </w:rPr>
      </w:pPr>
      <w:r>
        <w:rPr>
          <w:bCs/>
        </w:rPr>
        <w:t>For some partners adult learning is not core activity and engaging with and supporting the Partnership may not therefore be a priority</w:t>
      </w:r>
      <w:r w:rsidR="000345A2">
        <w:rPr>
          <w:bCs/>
        </w:rPr>
        <w:t>.</w:t>
      </w:r>
      <w:r>
        <w:rPr>
          <w:bCs/>
        </w:rPr>
        <w:t xml:space="preserve"> This was mentioned by several participants in relation to the role of HE institutions within the Partnership, and they suggested that it can weaken efforts to promote collaboration and strengthen systems and processes across partners. For example, one participant stated that HE partners often send relatively junior staff to meetings and it is often not the same person, while another acknowledged that HEIs are unlikely to sign up to joint policies and procedures that the Partnership might develop on matters such as safeguarding.</w:t>
      </w:r>
    </w:p>
    <w:p w14:paraId="343282D3" w14:textId="5FE44C6F" w:rsidR="00E002EC" w:rsidRPr="0054113F" w:rsidRDefault="00E002EC" w:rsidP="00E002EC">
      <w:pPr>
        <w:pStyle w:val="LWBody"/>
        <w:ind w:left="709"/>
        <w:rPr>
          <w:bCs/>
          <w:i/>
          <w:iCs/>
        </w:rPr>
      </w:pPr>
      <w:r w:rsidRPr="0054113F">
        <w:rPr>
          <w:bCs/>
          <w:i/>
          <w:iCs/>
        </w:rPr>
        <w:t>There is a bit of uncomfortableness in there. You know, it's, 'we're a distinct organi</w:t>
      </w:r>
      <w:r w:rsidR="00427A7C">
        <w:rPr>
          <w:bCs/>
          <w:i/>
          <w:iCs/>
        </w:rPr>
        <w:t>s</w:t>
      </w:r>
      <w:r w:rsidRPr="0054113F">
        <w:rPr>
          <w:bCs/>
          <w:i/>
          <w:iCs/>
        </w:rPr>
        <w:t>ation, you know, we do things our own way which are different. So we're interested in looking at what you're doing. But, you know, I'm not sure we're interested in signing up to it</w:t>
      </w:r>
      <w:r>
        <w:rPr>
          <w:bCs/>
          <w:i/>
          <w:iCs/>
        </w:rPr>
        <w:t>’</w:t>
      </w:r>
      <w:r w:rsidRPr="0054113F">
        <w:rPr>
          <w:bCs/>
          <w:i/>
          <w:iCs/>
        </w:rPr>
        <w:t>.</w:t>
      </w:r>
      <w:r>
        <w:rPr>
          <w:bCs/>
          <w:i/>
          <w:iCs/>
        </w:rPr>
        <w:t>”</w:t>
      </w:r>
    </w:p>
    <w:p w14:paraId="10D1A1C9" w14:textId="77777777" w:rsidR="00E002EC" w:rsidRPr="008C31D7" w:rsidRDefault="00E002EC" w:rsidP="00E002EC">
      <w:pPr>
        <w:pStyle w:val="LWTitle2"/>
      </w:pPr>
      <w:bookmarkStart w:id="19" w:name="_Toc133414339"/>
      <w:bookmarkStart w:id="20" w:name="_Toc133569848"/>
      <w:r>
        <w:t>Meeting local learning needs</w:t>
      </w:r>
      <w:bookmarkEnd w:id="19"/>
      <w:bookmarkEnd w:id="20"/>
    </w:p>
    <w:p w14:paraId="55385A49" w14:textId="54553A54" w:rsidR="00E002EC" w:rsidRDefault="00E002EC" w:rsidP="00E002EC">
      <w:pPr>
        <w:pStyle w:val="LWBody"/>
        <w:rPr>
          <w:bCs/>
        </w:rPr>
      </w:pPr>
      <w:r>
        <w:rPr>
          <w:bCs/>
        </w:rPr>
        <w:t xml:space="preserve">This section looks at what participants told us about how Partnerships plan and deliver learning. It covers the following substantive aspects of their work: identifying local learning needs; planning provision; funding and sustainability; and delivery models.  </w:t>
      </w:r>
    </w:p>
    <w:p w14:paraId="6DEC7A2F" w14:textId="64AB99F5" w:rsidR="00E002EC" w:rsidRDefault="00E002EC" w:rsidP="00E002EC">
      <w:pPr>
        <w:pStyle w:val="LWBody"/>
        <w:rPr>
          <w:bCs/>
        </w:rPr>
      </w:pPr>
      <w:r>
        <w:rPr>
          <w:bCs/>
        </w:rPr>
        <w:t xml:space="preserve">Central to our discussions with participants on these questions was an exploration of how far Partnerships feel they are currently able to achieve the right mix and balance of provision to meet local needs. Participants were clear that the key to driving up participation in adult learning lies fundamentally in their capacity to provide learning opportunities that are recognised by adults as being relevant to their lives, </w:t>
      </w:r>
      <w:r w:rsidR="00857BC5">
        <w:rPr>
          <w:bCs/>
        </w:rPr>
        <w:t>priorities,</w:t>
      </w:r>
      <w:r>
        <w:rPr>
          <w:bCs/>
        </w:rPr>
        <w:t xml:space="preserve"> and aspirations, in terms not only of content, but also of how, where and when it </w:t>
      </w:r>
      <w:r w:rsidR="00556FEF">
        <w:rPr>
          <w:bCs/>
        </w:rPr>
        <w:t>i</w:t>
      </w:r>
      <w:r>
        <w:rPr>
          <w:bCs/>
        </w:rPr>
        <w:t>s delivered. The degree to which they can maintain that focus on responding to learner needs represents the crux of Partnership’s activity.</w:t>
      </w:r>
    </w:p>
    <w:p w14:paraId="24184AD9" w14:textId="77777777" w:rsidR="00E002EC" w:rsidRDefault="00E002EC" w:rsidP="00E002EC">
      <w:pPr>
        <w:pStyle w:val="LWTitle3"/>
        <w:rPr>
          <w:lang w:val="en-GB"/>
        </w:rPr>
      </w:pPr>
      <w:bookmarkStart w:id="21" w:name="_Toc133414340"/>
      <w:bookmarkStart w:id="22" w:name="_Toc133569849"/>
      <w:r w:rsidRPr="008C31D7">
        <w:rPr>
          <w:lang w:val="en-GB"/>
        </w:rPr>
        <w:t>Current approaches</w:t>
      </w:r>
      <w:bookmarkEnd w:id="21"/>
      <w:bookmarkEnd w:id="22"/>
    </w:p>
    <w:p w14:paraId="52FC1E5A" w14:textId="77777777" w:rsidR="00E002EC" w:rsidRPr="004B67F8" w:rsidRDefault="00E002EC" w:rsidP="00E002EC">
      <w:pPr>
        <w:pStyle w:val="LWBody"/>
        <w:rPr>
          <w:b/>
          <w:i/>
          <w:iCs/>
        </w:rPr>
      </w:pPr>
      <w:r w:rsidRPr="004B67F8">
        <w:rPr>
          <w:b/>
          <w:i/>
          <w:iCs/>
        </w:rPr>
        <w:t>Identifying local learning needs</w:t>
      </w:r>
    </w:p>
    <w:p w14:paraId="2D255364" w14:textId="4D2CCD2D" w:rsidR="00E002EC" w:rsidRDefault="00E002EC" w:rsidP="00E002EC">
      <w:pPr>
        <w:pStyle w:val="LWBody"/>
        <w:rPr>
          <w:bCs/>
        </w:rPr>
      </w:pPr>
      <w:r>
        <w:rPr>
          <w:bCs/>
        </w:rPr>
        <w:t>Participants described drawing on a range of sources of data and intelligence to understand the learning needs in their local area and inform planning. These include:</w:t>
      </w:r>
    </w:p>
    <w:p w14:paraId="0BFCDE00" w14:textId="38AADF8D" w:rsidR="00E002EC" w:rsidRDefault="00E002EC">
      <w:pPr>
        <w:pStyle w:val="LWBody"/>
        <w:numPr>
          <w:ilvl w:val="0"/>
          <w:numId w:val="10"/>
        </w:numPr>
        <w:rPr>
          <w:bCs/>
        </w:rPr>
      </w:pPr>
      <w:r>
        <w:rPr>
          <w:bCs/>
        </w:rPr>
        <w:lastRenderedPageBreak/>
        <w:t xml:space="preserve">Intelligence gathered from </w:t>
      </w:r>
      <w:r w:rsidRPr="00F35884">
        <w:rPr>
          <w:bCs/>
        </w:rPr>
        <w:t xml:space="preserve">partners and other services </w:t>
      </w:r>
      <w:r>
        <w:rPr>
          <w:bCs/>
        </w:rPr>
        <w:t>with</w:t>
      </w:r>
      <w:r w:rsidRPr="00F35884">
        <w:rPr>
          <w:bCs/>
        </w:rPr>
        <w:t xml:space="preserve"> which </w:t>
      </w:r>
      <w:r>
        <w:rPr>
          <w:bCs/>
        </w:rPr>
        <w:t xml:space="preserve">adult learning </w:t>
      </w:r>
      <w:r w:rsidR="00117EF2" w:rsidRPr="00F35884">
        <w:rPr>
          <w:bCs/>
        </w:rPr>
        <w:t>overlaps,</w:t>
      </w:r>
      <w:r>
        <w:rPr>
          <w:bCs/>
        </w:rPr>
        <w:t xml:space="preserve"> and which are in direct contact with target learners, including Third Sector organisations, employability support teams in local authorities delivering programmes such as Communities for Work, DWP, schools and business support services.</w:t>
      </w:r>
    </w:p>
    <w:p w14:paraId="7EDD6217" w14:textId="0E4EEEB4" w:rsidR="00E002EC" w:rsidRDefault="00E002EC">
      <w:pPr>
        <w:pStyle w:val="LWBody"/>
        <w:numPr>
          <w:ilvl w:val="0"/>
          <w:numId w:val="10"/>
        </w:numPr>
        <w:rPr>
          <w:bCs/>
        </w:rPr>
      </w:pPr>
      <w:r>
        <w:rPr>
          <w:bCs/>
        </w:rPr>
        <w:t xml:space="preserve">Community engagement activities which directly access learner voice. For example, Coleg Menai is a lead partner in both </w:t>
      </w:r>
      <w:r w:rsidRPr="002D4180">
        <w:rPr>
          <w:bCs/>
        </w:rPr>
        <w:t>Gwynedd &amp; Mon</w:t>
      </w:r>
      <w:r>
        <w:rPr>
          <w:bCs/>
        </w:rPr>
        <w:t xml:space="preserve"> and </w:t>
      </w:r>
      <w:r w:rsidRPr="002D4180">
        <w:rPr>
          <w:bCs/>
        </w:rPr>
        <w:t>Conwy &amp; Denbighshire</w:t>
      </w:r>
      <w:r>
        <w:rPr>
          <w:bCs/>
        </w:rPr>
        <w:t xml:space="preserve"> </w:t>
      </w:r>
      <w:r w:rsidR="00BE71C6">
        <w:rPr>
          <w:bCs/>
        </w:rPr>
        <w:t>Partnerships and</w:t>
      </w:r>
      <w:r>
        <w:rPr>
          <w:bCs/>
        </w:rPr>
        <w:t xml:space="preserve"> has a dedicated adult learning coordinator based in each Partnership area who engages with communities, employers and learning providers. </w:t>
      </w:r>
    </w:p>
    <w:p w14:paraId="0E090020" w14:textId="77777777" w:rsidR="00E002EC" w:rsidRDefault="00E002EC">
      <w:pPr>
        <w:pStyle w:val="LWBody"/>
        <w:numPr>
          <w:ilvl w:val="0"/>
          <w:numId w:val="10"/>
        </w:numPr>
        <w:rPr>
          <w:bCs/>
        </w:rPr>
      </w:pPr>
      <w:r w:rsidRPr="004B67F8">
        <w:rPr>
          <w:bCs/>
        </w:rPr>
        <w:t xml:space="preserve">Local labour market information (LMI), </w:t>
      </w:r>
      <w:r>
        <w:rPr>
          <w:bCs/>
        </w:rPr>
        <w:t>including</w:t>
      </w:r>
      <w:r w:rsidRPr="004B67F8">
        <w:rPr>
          <w:bCs/>
        </w:rPr>
        <w:t xml:space="preserve"> data on vacancies, sectors and employer skills needs</w:t>
      </w:r>
      <w:r>
        <w:rPr>
          <w:bCs/>
        </w:rPr>
        <w:t xml:space="preserve"> which Partnerships can obtain from sources including employability support services and Regional Skills Partnerships.</w:t>
      </w:r>
    </w:p>
    <w:p w14:paraId="0A56712B" w14:textId="77777777" w:rsidR="00E002EC" w:rsidRDefault="00E002EC">
      <w:pPr>
        <w:pStyle w:val="LWBody"/>
        <w:numPr>
          <w:ilvl w:val="0"/>
          <w:numId w:val="10"/>
        </w:numPr>
        <w:rPr>
          <w:bCs/>
        </w:rPr>
      </w:pPr>
      <w:r>
        <w:rPr>
          <w:bCs/>
        </w:rPr>
        <w:t>Social-demographic data from sources such as the Census.</w:t>
      </w:r>
    </w:p>
    <w:p w14:paraId="3140322C" w14:textId="263E25FF" w:rsidR="00E002EC" w:rsidRDefault="00E002EC">
      <w:pPr>
        <w:pStyle w:val="LWBody"/>
        <w:numPr>
          <w:ilvl w:val="0"/>
          <w:numId w:val="10"/>
        </w:numPr>
        <w:rPr>
          <w:bCs/>
        </w:rPr>
      </w:pPr>
      <w:r>
        <w:rPr>
          <w:bCs/>
        </w:rPr>
        <w:t>L</w:t>
      </w:r>
      <w:r w:rsidRPr="003907A7">
        <w:rPr>
          <w:bCs/>
        </w:rPr>
        <w:t xml:space="preserve">earner data </w:t>
      </w:r>
      <w:r>
        <w:rPr>
          <w:bCs/>
        </w:rPr>
        <w:t>collected and collated t</w:t>
      </w:r>
      <w:r w:rsidRPr="003907A7">
        <w:rPr>
          <w:bCs/>
        </w:rPr>
        <w:t xml:space="preserve">hrough college </w:t>
      </w:r>
      <w:r>
        <w:rPr>
          <w:bCs/>
        </w:rPr>
        <w:t>management information systems:</w:t>
      </w:r>
    </w:p>
    <w:p w14:paraId="06D19AA1" w14:textId="77777777" w:rsidR="00E002EC" w:rsidRPr="003907A7" w:rsidRDefault="00E002EC" w:rsidP="00E002EC">
      <w:pPr>
        <w:pStyle w:val="LWBody"/>
        <w:ind w:left="720"/>
        <w:rPr>
          <w:bCs/>
          <w:i/>
          <w:iCs/>
        </w:rPr>
      </w:pPr>
      <w:r w:rsidRPr="003907A7">
        <w:rPr>
          <w:bCs/>
          <w:i/>
          <w:iCs/>
        </w:rPr>
        <w:t>We have an ACL dashboard available to the partnership, but the college has got a postcode one. So it clearly shows you the demographics of where the learners have come from and where they're travelling to.</w:t>
      </w:r>
    </w:p>
    <w:p w14:paraId="3225C165" w14:textId="77777777" w:rsidR="00E002EC" w:rsidRPr="00F35884" w:rsidRDefault="00E002EC">
      <w:pPr>
        <w:pStyle w:val="LWBody"/>
        <w:numPr>
          <w:ilvl w:val="0"/>
          <w:numId w:val="11"/>
        </w:numPr>
        <w:rPr>
          <w:bCs/>
        </w:rPr>
      </w:pPr>
      <w:r>
        <w:rPr>
          <w:bCs/>
        </w:rPr>
        <w:t xml:space="preserve">Experience of previous years’ delivery, to see what has been popular and successful.    </w:t>
      </w:r>
    </w:p>
    <w:p w14:paraId="6D790E4A" w14:textId="14B821A6" w:rsidR="00E002EC" w:rsidRPr="00F35884" w:rsidRDefault="00E002EC" w:rsidP="00E002EC">
      <w:pPr>
        <w:pStyle w:val="LWBody"/>
        <w:rPr>
          <w:bCs/>
        </w:rPr>
      </w:pPr>
      <w:r>
        <w:rPr>
          <w:bCs/>
        </w:rPr>
        <w:t xml:space="preserve">It is worth noting that the degree </w:t>
      </w:r>
      <w:r w:rsidRPr="00F35884">
        <w:rPr>
          <w:bCs/>
        </w:rPr>
        <w:t>to which planning is informed by research and evidence varies</w:t>
      </w:r>
      <w:r>
        <w:rPr>
          <w:bCs/>
        </w:rPr>
        <w:t xml:space="preserve"> considerably</w:t>
      </w:r>
      <w:r w:rsidRPr="00F35884">
        <w:rPr>
          <w:bCs/>
        </w:rPr>
        <w:t xml:space="preserve">, as does </w:t>
      </w:r>
      <w:r>
        <w:rPr>
          <w:bCs/>
        </w:rPr>
        <w:t xml:space="preserve">the </w:t>
      </w:r>
      <w:r w:rsidRPr="00F35884">
        <w:rPr>
          <w:bCs/>
        </w:rPr>
        <w:t xml:space="preserve">quality of data on which </w:t>
      </w:r>
      <w:r>
        <w:rPr>
          <w:bCs/>
        </w:rPr>
        <w:t>P</w:t>
      </w:r>
      <w:r w:rsidRPr="00F35884">
        <w:rPr>
          <w:bCs/>
        </w:rPr>
        <w:t xml:space="preserve">artnerships draw. One </w:t>
      </w:r>
      <w:r>
        <w:rPr>
          <w:bCs/>
        </w:rPr>
        <w:t xml:space="preserve">participant </w:t>
      </w:r>
      <w:r w:rsidRPr="00F35884">
        <w:rPr>
          <w:bCs/>
        </w:rPr>
        <w:t xml:space="preserve">described how </w:t>
      </w:r>
      <w:r>
        <w:rPr>
          <w:bCs/>
        </w:rPr>
        <w:t xml:space="preserve">promoting </w:t>
      </w:r>
      <w:r w:rsidRPr="00F35884">
        <w:rPr>
          <w:bCs/>
        </w:rPr>
        <w:t xml:space="preserve">better understanding and use of local data has been a key priority in their </w:t>
      </w:r>
      <w:r>
        <w:rPr>
          <w:bCs/>
        </w:rPr>
        <w:t xml:space="preserve">Partnership’s </w:t>
      </w:r>
      <w:r w:rsidRPr="00F35884">
        <w:rPr>
          <w:bCs/>
        </w:rPr>
        <w:t>quality improvement plan.</w:t>
      </w:r>
    </w:p>
    <w:p w14:paraId="58261B7A" w14:textId="77777777" w:rsidR="00E002EC" w:rsidRPr="002D4180" w:rsidRDefault="00E002EC" w:rsidP="00E002EC">
      <w:pPr>
        <w:pStyle w:val="LWBody"/>
        <w:rPr>
          <w:b/>
          <w:i/>
          <w:iCs/>
        </w:rPr>
      </w:pPr>
      <w:r w:rsidRPr="002D4180">
        <w:rPr>
          <w:b/>
          <w:i/>
          <w:iCs/>
        </w:rPr>
        <w:t xml:space="preserve">Planning provision </w:t>
      </w:r>
    </w:p>
    <w:p w14:paraId="48F8F50E" w14:textId="77777777" w:rsidR="00E002EC" w:rsidRDefault="00E002EC" w:rsidP="00E002EC">
      <w:pPr>
        <w:pStyle w:val="LWBody"/>
        <w:rPr>
          <w:bCs/>
        </w:rPr>
      </w:pPr>
      <w:r>
        <w:rPr>
          <w:bCs/>
        </w:rPr>
        <w:t xml:space="preserve">In our conversations with participants, we asked how far partners work collaboratively and carry out joint planning of provision. This is a key aspect of the coordinating function that Partnerships are intended to fulfil, with the aim of eliminating duplication, addressing gaps and supporting progression.  </w:t>
      </w:r>
    </w:p>
    <w:p w14:paraId="11DDFCD8" w14:textId="0F458F41" w:rsidR="00E002EC" w:rsidRDefault="00E002EC" w:rsidP="00E002EC">
      <w:pPr>
        <w:pStyle w:val="LWBody"/>
        <w:rPr>
          <w:bCs/>
        </w:rPr>
      </w:pPr>
      <w:r>
        <w:rPr>
          <w:bCs/>
        </w:rPr>
        <w:t xml:space="preserve">Not surprisingly, the findings suggest that the extent of joint planning varies. As the previous section indicated, Partnerships have differing degrees of central capacity to fulfil the role of coordinating adult learning as a gateway back into education and training which can engage large numbers of learners. The operational groups with a focus on curriculum are generally the forum where provision planning takes place, with a greater or lesser degree of emphasis on joining up between partners. One participant stated that, as there </w:t>
      </w:r>
      <w:r>
        <w:rPr>
          <w:bCs/>
        </w:rPr>
        <w:lastRenderedPageBreak/>
        <w:t xml:space="preserve">is little overlap between what partners offer, there has been little incentive to plan together.  However, this approach is not typical, and the most common method seems to be for individual partners to develop their offer, then come together at least once a year in the curriculum planning group to review the overall picture and deal with duplication and gaps.  </w:t>
      </w:r>
    </w:p>
    <w:p w14:paraId="0C39AD62" w14:textId="26089A85" w:rsidR="00E002EC" w:rsidRDefault="00E002EC" w:rsidP="00E002EC">
      <w:pPr>
        <w:pStyle w:val="LWBody"/>
        <w:rPr>
          <w:bCs/>
        </w:rPr>
      </w:pPr>
      <w:r>
        <w:rPr>
          <w:bCs/>
        </w:rPr>
        <w:t xml:space="preserve">In general, planning decisions are informed not only by looking at what partners are intending to deliver with Welsh Government’s core adult learning grant, but more widely at the breadth of provision that is offered across the partnership. This is particularly the case with regard to progression planning, which is a key focus of the collaborative planning that takes place within Partnerships. Partners aim </w:t>
      </w:r>
      <w:r w:rsidR="00FE799C">
        <w:rPr>
          <w:bCs/>
        </w:rPr>
        <w:t>to</w:t>
      </w:r>
      <w:r>
        <w:rPr>
          <w:bCs/>
        </w:rPr>
        <w:t xml:space="preserve"> identify and map progression routes between provision across the Partnership for curriculum areas. For example, participants described how they have developed progression maps for key career and employment pathways that align with local priority sectors, and from community-based provision through to HE. A number of participants stressed that they take a broad view of progression, which encompasses moving to different types of provision as well as between levels. However, our conversations suggest that supporting progression from community-based to college-based provision is the priority for all Partnerships. </w:t>
      </w:r>
    </w:p>
    <w:p w14:paraId="1BBD43F3" w14:textId="77777777" w:rsidR="00E002EC" w:rsidRPr="0065740A" w:rsidRDefault="00E002EC" w:rsidP="00E002EC">
      <w:pPr>
        <w:pStyle w:val="LWBody"/>
        <w:rPr>
          <w:b/>
          <w:i/>
          <w:iCs/>
        </w:rPr>
      </w:pPr>
      <w:r w:rsidRPr="0065740A">
        <w:rPr>
          <w:b/>
          <w:i/>
          <w:iCs/>
        </w:rPr>
        <w:t xml:space="preserve">Funding and sustainability </w:t>
      </w:r>
    </w:p>
    <w:p w14:paraId="46E46F5C" w14:textId="6F2CED10" w:rsidR="00E002EC" w:rsidRPr="00F35884" w:rsidRDefault="00E002EC" w:rsidP="00E002EC">
      <w:pPr>
        <w:pStyle w:val="LWBody"/>
        <w:rPr>
          <w:bCs/>
        </w:rPr>
      </w:pPr>
      <w:r>
        <w:rPr>
          <w:bCs/>
        </w:rPr>
        <w:t xml:space="preserve">We asked participants about the extent to which their </w:t>
      </w:r>
      <w:r w:rsidR="00BE71C6">
        <w:rPr>
          <w:bCs/>
        </w:rPr>
        <w:t>Partnership</w:t>
      </w:r>
      <w:r>
        <w:rPr>
          <w:bCs/>
        </w:rPr>
        <w:t xml:space="preserve"> plays a role in jointly planning for the use of funding which partners receive for the delivery of adult learning from sources other than the adult learning grant. The picture was mixed, although it is evident that participants at least seek to align adult learning funding and part time FE funding as part of their planning. For example, in NPT and Powys Partnership, the partner local authorities </w:t>
      </w:r>
      <w:r w:rsidRPr="004D7581">
        <w:rPr>
          <w:bCs/>
        </w:rPr>
        <w:t xml:space="preserve">plan for </w:t>
      </w:r>
      <w:r>
        <w:rPr>
          <w:bCs/>
        </w:rPr>
        <w:t xml:space="preserve">the </w:t>
      </w:r>
      <w:r w:rsidRPr="004D7581">
        <w:rPr>
          <w:bCs/>
        </w:rPr>
        <w:t xml:space="preserve">use of grant with support and facilitation from the college, and </w:t>
      </w:r>
      <w:r>
        <w:rPr>
          <w:bCs/>
        </w:rPr>
        <w:t>part time</w:t>
      </w:r>
      <w:r w:rsidRPr="004D7581">
        <w:rPr>
          <w:bCs/>
        </w:rPr>
        <w:t xml:space="preserve"> FE provision </w:t>
      </w:r>
      <w:r>
        <w:rPr>
          <w:bCs/>
        </w:rPr>
        <w:t xml:space="preserve">planning </w:t>
      </w:r>
      <w:r w:rsidRPr="004D7581">
        <w:rPr>
          <w:bCs/>
        </w:rPr>
        <w:t xml:space="preserve">is informed by needs within the community and </w:t>
      </w:r>
      <w:r>
        <w:rPr>
          <w:bCs/>
        </w:rPr>
        <w:t>how the</w:t>
      </w:r>
      <w:r w:rsidRPr="004D7581">
        <w:rPr>
          <w:bCs/>
        </w:rPr>
        <w:t xml:space="preserve"> </w:t>
      </w:r>
      <w:r>
        <w:rPr>
          <w:bCs/>
        </w:rPr>
        <w:t xml:space="preserve">adult learning </w:t>
      </w:r>
      <w:r w:rsidRPr="004D7581">
        <w:rPr>
          <w:bCs/>
        </w:rPr>
        <w:t>grant is being used.</w:t>
      </w:r>
      <w:r>
        <w:rPr>
          <w:bCs/>
        </w:rPr>
        <w:t xml:space="preserve">  There is also evidence that Partnerships have begun to align their adult learning funding with Welsh Government </w:t>
      </w:r>
      <w:r w:rsidRPr="004D7581">
        <w:rPr>
          <w:bCs/>
        </w:rPr>
        <w:t xml:space="preserve">funding </w:t>
      </w:r>
      <w:r>
        <w:rPr>
          <w:bCs/>
        </w:rPr>
        <w:t xml:space="preserve">that is going into the local area via other routes, effectively pooling resources to develop and enhance the local offer. For example, </w:t>
      </w:r>
      <w:proofErr w:type="gramStart"/>
      <w:r>
        <w:rPr>
          <w:bCs/>
        </w:rPr>
        <w:t>North East</w:t>
      </w:r>
      <w:proofErr w:type="gramEnd"/>
      <w:r>
        <w:rPr>
          <w:bCs/>
        </w:rPr>
        <w:t xml:space="preserve"> Wales Adult Learning Partnership has</w:t>
      </w:r>
      <w:r w:rsidRPr="004D7581">
        <w:rPr>
          <w:bCs/>
        </w:rPr>
        <w:t xml:space="preserve"> </w:t>
      </w:r>
      <w:r w:rsidRPr="00F35884">
        <w:rPr>
          <w:bCs/>
        </w:rPr>
        <w:t xml:space="preserve">made links with </w:t>
      </w:r>
      <w:r>
        <w:rPr>
          <w:bCs/>
        </w:rPr>
        <w:t>the local authority team in Flintshire managing C</w:t>
      </w:r>
      <w:r w:rsidRPr="00F35884">
        <w:rPr>
          <w:bCs/>
        </w:rPr>
        <w:t>ommunity Focused Schools grants</w:t>
      </w:r>
      <w:r>
        <w:rPr>
          <w:bCs/>
        </w:rPr>
        <w:t>, and has been able to develop Family Learning provision to complement that work:</w:t>
      </w:r>
    </w:p>
    <w:p w14:paraId="4490EB19" w14:textId="733AB700" w:rsidR="00E002EC" w:rsidRPr="00F35884" w:rsidRDefault="00E002EC" w:rsidP="00E002EC">
      <w:pPr>
        <w:pStyle w:val="LWBody"/>
        <w:rPr>
          <w:bCs/>
        </w:rPr>
      </w:pPr>
      <w:r>
        <w:rPr>
          <w:bCs/>
        </w:rPr>
        <w:t xml:space="preserve">Our conversations suggest that there is interest from Partnerships in doing more together as funding becomes available. Indeed, one participant said that in future they would like to see their Partnership having a formal role in deciding how any adult learning funding that comes into the area is used. In all our conversations, participants discussed how planning for Multiply has encouraged the development of a more collaborative approach between partners on numeracy. It was suggested that this could provide a testing ground for joint working which could be applied to other curriculum areas. In one Partnership, the local authority has put its Welsh Government engagement funding “on the table” for the Partnership to plan and use collectively for joint activities.  </w:t>
      </w:r>
    </w:p>
    <w:p w14:paraId="3F382D7B" w14:textId="77777777" w:rsidR="007A4F8E" w:rsidRDefault="007A4F8E" w:rsidP="00E002EC">
      <w:pPr>
        <w:pStyle w:val="LWBody"/>
        <w:rPr>
          <w:b/>
          <w:i/>
          <w:iCs/>
        </w:rPr>
      </w:pPr>
    </w:p>
    <w:p w14:paraId="0697ED49" w14:textId="328BFB65" w:rsidR="00E002EC" w:rsidRDefault="00E002EC" w:rsidP="00E002EC">
      <w:pPr>
        <w:pStyle w:val="LWBody"/>
        <w:rPr>
          <w:b/>
          <w:i/>
          <w:iCs/>
        </w:rPr>
      </w:pPr>
      <w:r w:rsidRPr="001978C3">
        <w:rPr>
          <w:b/>
          <w:i/>
          <w:iCs/>
        </w:rPr>
        <w:lastRenderedPageBreak/>
        <w:t>Delivery m</w:t>
      </w:r>
      <w:r>
        <w:rPr>
          <w:b/>
          <w:i/>
          <w:iCs/>
        </w:rPr>
        <w:t>ethods</w:t>
      </w:r>
    </w:p>
    <w:p w14:paraId="0D76BCC6" w14:textId="298F7F77" w:rsidR="00E002EC" w:rsidRDefault="00E002EC" w:rsidP="00E002EC">
      <w:pPr>
        <w:pStyle w:val="LWBody"/>
        <w:rPr>
          <w:bCs/>
        </w:rPr>
      </w:pPr>
      <w:r>
        <w:rPr>
          <w:bCs/>
        </w:rPr>
        <w:t xml:space="preserve">It is clear that on the whole, adult learning has moved away from the online learning that was adopted during the pandemic. Most provision now appears to use a blended approach, in which delivery is primarily </w:t>
      </w:r>
      <w:proofErr w:type="gramStart"/>
      <w:r>
        <w:rPr>
          <w:bCs/>
        </w:rPr>
        <w:t>face</w:t>
      </w:r>
      <w:proofErr w:type="gramEnd"/>
      <w:r>
        <w:rPr>
          <w:bCs/>
        </w:rPr>
        <w:t xml:space="preserve"> to face but supplemented by additional </w:t>
      </w:r>
      <w:r w:rsidR="00BE71C6">
        <w:rPr>
          <w:bCs/>
        </w:rPr>
        <w:t>digital</w:t>
      </w:r>
      <w:r>
        <w:rPr>
          <w:bCs/>
        </w:rPr>
        <w:t xml:space="preserve"> resources and activities.  </w:t>
      </w:r>
    </w:p>
    <w:p w14:paraId="1F34B4B3" w14:textId="2FE696CC" w:rsidR="00E002EC" w:rsidRPr="001978C3" w:rsidRDefault="00BE71C6" w:rsidP="00E002EC">
      <w:pPr>
        <w:pStyle w:val="LWBody"/>
        <w:rPr>
          <w:bCs/>
        </w:rPr>
      </w:pPr>
      <w:r>
        <w:rPr>
          <w:bCs/>
        </w:rPr>
        <w:t>Participants</w:t>
      </w:r>
      <w:r w:rsidR="00E002EC">
        <w:rPr>
          <w:bCs/>
        </w:rPr>
        <w:t xml:space="preserve"> stressed that face to face delivery is most appropriate for meeting the needs of their target learners. They noted that, at the start of their journey back into learning, many adults do not have the digital skills or access to technology that would be necessary to engage fully with online delivery. Furthermore, face to face learning supports a range of wider outcomes such as developing social skills, promoting wellbeing, tackling loneliness</w:t>
      </w:r>
      <w:r w:rsidR="00F72AAB">
        <w:rPr>
          <w:bCs/>
        </w:rPr>
        <w:t>,</w:t>
      </w:r>
      <w:r w:rsidR="00E002EC">
        <w:rPr>
          <w:bCs/>
        </w:rPr>
        <w:t xml:space="preserve"> and building confidence and self-identify as a learner. However, participants reported that a digital component is now routinely embedded into adult learning courses. Not only does this provide access to enhanced resources and activities to reinforce learning from the </w:t>
      </w:r>
      <w:r>
        <w:rPr>
          <w:bCs/>
        </w:rPr>
        <w:t>face-to-face</w:t>
      </w:r>
      <w:r w:rsidR="00E002EC">
        <w:rPr>
          <w:bCs/>
        </w:rPr>
        <w:t xml:space="preserve"> sessions, but it also enables learners who miss a session to catch up as well as supporting learners to develop their digital skills and confidence.   </w:t>
      </w:r>
    </w:p>
    <w:p w14:paraId="4404F66B" w14:textId="77777777" w:rsidR="00E002EC" w:rsidRPr="0046150F" w:rsidRDefault="00E002EC" w:rsidP="00E002EC">
      <w:pPr>
        <w:pStyle w:val="LWBody"/>
        <w:ind w:left="567"/>
        <w:rPr>
          <w:bCs/>
          <w:i/>
          <w:iCs/>
        </w:rPr>
      </w:pPr>
      <w:r w:rsidRPr="0046150F">
        <w:rPr>
          <w:bCs/>
          <w:i/>
          <w:iCs/>
        </w:rPr>
        <w:t>We know that face to face is the best engagement. But I think if we can use a combination of both, it seems to work pretty well.</w:t>
      </w:r>
    </w:p>
    <w:p w14:paraId="0D6E33FA" w14:textId="3C33E707" w:rsidR="00E002EC" w:rsidRPr="0039533C" w:rsidRDefault="00E002EC" w:rsidP="00E002EC">
      <w:pPr>
        <w:pStyle w:val="LWBody"/>
        <w:ind w:left="567"/>
        <w:rPr>
          <w:bCs/>
        </w:rPr>
      </w:pPr>
      <w:r w:rsidRPr="0046150F">
        <w:rPr>
          <w:bCs/>
          <w:i/>
          <w:iCs/>
        </w:rPr>
        <w:t>You might be engaging with people face to face for two to three hours a week and then the digital gives them that enhanced experience so they can engage with things at other times of the week. But if it wasn't for that regular face to face, I don't think you'd have any momentum really with just digital on its own.</w:t>
      </w:r>
    </w:p>
    <w:p w14:paraId="57CCADC6" w14:textId="77777777" w:rsidR="00E002EC" w:rsidRDefault="00E002EC" w:rsidP="00E002EC">
      <w:pPr>
        <w:pStyle w:val="LWBody"/>
        <w:rPr>
          <w:bCs/>
        </w:rPr>
      </w:pPr>
      <w:r>
        <w:rPr>
          <w:bCs/>
        </w:rPr>
        <w:t xml:space="preserve">At the same time, participants were clear that as far as possible they aim to give learners choice with regard to delivery methods.  </w:t>
      </w:r>
    </w:p>
    <w:p w14:paraId="6233685C" w14:textId="77777777" w:rsidR="00E002EC" w:rsidRPr="00555F91" w:rsidRDefault="00E002EC" w:rsidP="00E002EC">
      <w:pPr>
        <w:pStyle w:val="LWBody"/>
        <w:ind w:left="567"/>
        <w:rPr>
          <w:bCs/>
          <w:i/>
          <w:iCs/>
        </w:rPr>
      </w:pPr>
      <w:r w:rsidRPr="00555F91">
        <w:rPr>
          <w:bCs/>
          <w:i/>
          <w:iCs/>
        </w:rPr>
        <w:t>I would say probably quite balanced at the moment. Because we deliver to lower-level learners. So you're talking about entry one</w:t>
      </w:r>
      <w:r>
        <w:rPr>
          <w:bCs/>
          <w:i/>
          <w:iCs/>
        </w:rPr>
        <w:t>,</w:t>
      </w:r>
      <w:r w:rsidRPr="00555F91">
        <w:rPr>
          <w:bCs/>
          <w:i/>
          <w:iCs/>
        </w:rPr>
        <w:t xml:space="preserve"> entry two</w:t>
      </w:r>
      <w:r>
        <w:rPr>
          <w:bCs/>
          <w:i/>
          <w:iCs/>
        </w:rPr>
        <w:t>,</w:t>
      </w:r>
      <w:r w:rsidRPr="00555F91">
        <w:rPr>
          <w:bCs/>
          <w:i/>
          <w:iCs/>
        </w:rPr>
        <w:t xml:space="preserve"> entry three, level one. A lot of those have gone back to face to face. So I would say probably 60 odd per</w:t>
      </w:r>
      <w:r>
        <w:rPr>
          <w:bCs/>
          <w:i/>
          <w:iCs/>
        </w:rPr>
        <w:t xml:space="preserve"> </w:t>
      </w:r>
      <w:r w:rsidRPr="00555F91">
        <w:rPr>
          <w:bCs/>
          <w:i/>
          <w:iCs/>
        </w:rPr>
        <w:t>cent is now face to face and then we've got a mixture of about 20</w:t>
      </w:r>
      <w:r>
        <w:rPr>
          <w:bCs/>
          <w:i/>
          <w:iCs/>
        </w:rPr>
        <w:t xml:space="preserve"> per cent </w:t>
      </w:r>
      <w:r w:rsidRPr="00555F91">
        <w:rPr>
          <w:bCs/>
          <w:i/>
          <w:iCs/>
        </w:rPr>
        <w:t>of blended learning and then the rest is online. We cater to whatever people's needs are.</w:t>
      </w:r>
    </w:p>
    <w:p w14:paraId="69376CAF" w14:textId="0119CD6E" w:rsidR="00E002EC" w:rsidRDefault="00E002EC" w:rsidP="00E002EC">
      <w:pPr>
        <w:pStyle w:val="LWBody"/>
        <w:rPr>
          <w:bCs/>
        </w:rPr>
      </w:pPr>
      <w:r>
        <w:rPr>
          <w:bCs/>
        </w:rPr>
        <w:t xml:space="preserve">Two participants described how they have retained online delivery options on some courses in response to feedback from learners in some localities. It is recognised that online learning has the potential to open up more opportunities for adults in more sparsely populated areas where providers would struggle to get viable class sizes, and one participant told us that they aim to use Multiply funding to pilot new digital delivery models in areas of sparse population. Several participants also pointed to British Sign Language, where wholly online delivery has now been widely adopted.  </w:t>
      </w:r>
    </w:p>
    <w:p w14:paraId="0E51588F" w14:textId="77777777" w:rsidR="00E002EC" w:rsidRPr="008C31D7" w:rsidRDefault="00E002EC" w:rsidP="00E002EC">
      <w:pPr>
        <w:pStyle w:val="LWTitle3"/>
        <w:rPr>
          <w:lang w:val="en-GB"/>
        </w:rPr>
      </w:pPr>
      <w:bookmarkStart w:id="23" w:name="_Toc133414341"/>
      <w:bookmarkStart w:id="24" w:name="_Toc133569850"/>
      <w:r w:rsidRPr="008C31D7">
        <w:rPr>
          <w:lang w:val="en-GB"/>
        </w:rPr>
        <w:lastRenderedPageBreak/>
        <w:t>Opportunities and strengths</w:t>
      </w:r>
      <w:bookmarkEnd w:id="23"/>
      <w:bookmarkEnd w:id="24"/>
    </w:p>
    <w:p w14:paraId="61BF1766" w14:textId="77777777" w:rsidR="00E002EC" w:rsidRDefault="00E002EC" w:rsidP="00E002EC">
      <w:pPr>
        <w:pStyle w:val="LWBody"/>
        <w:rPr>
          <w:bCs/>
        </w:rPr>
      </w:pPr>
      <w:r>
        <w:rPr>
          <w:bCs/>
        </w:rPr>
        <w:t xml:space="preserve">Participants pointed to a number of ways in which the coordinating framework offered by the Partnerships strengthens and enhances the delivery of adult learning.  </w:t>
      </w:r>
    </w:p>
    <w:p w14:paraId="7AF19FC2" w14:textId="4BF1B0BA" w:rsidR="00E002EC" w:rsidRDefault="00E002EC" w:rsidP="00E002EC">
      <w:pPr>
        <w:pStyle w:val="LWBody"/>
        <w:rPr>
          <w:bCs/>
        </w:rPr>
      </w:pPr>
      <w:r>
        <w:rPr>
          <w:bCs/>
        </w:rPr>
        <w:t xml:space="preserve">First, partners work together to identify gaps and unmet needs and develop bespoke provision in response to these. For example: </w:t>
      </w:r>
      <w:r w:rsidRPr="00F21482">
        <w:rPr>
          <w:bCs/>
        </w:rPr>
        <w:t xml:space="preserve">one Partnership has brought together adult learning providers with DWP to put on targeted </w:t>
      </w:r>
      <w:r>
        <w:rPr>
          <w:bCs/>
        </w:rPr>
        <w:t xml:space="preserve">digital </w:t>
      </w:r>
      <w:r w:rsidRPr="00F21482">
        <w:rPr>
          <w:bCs/>
        </w:rPr>
        <w:t xml:space="preserve">provision for Universal Credit claimants aged 50+ using a Citizens’ Curriculum model. In another instance, intelligence from schools and the Regional Skills Partnership highlighted </w:t>
      </w:r>
      <w:r w:rsidR="00BE71C6" w:rsidRPr="00F21482">
        <w:rPr>
          <w:bCs/>
        </w:rPr>
        <w:t>growing difficulties</w:t>
      </w:r>
      <w:r>
        <w:rPr>
          <w:bCs/>
        </w:rPr>
        <w:t xml:space="preserve"> </w:t>
      </w:r>
      <w:r w:rsidRPr="00F21482">
        <w:rPr>
          <w:bCs/>
        </w:rPr>
        <w:t xml:space="preserve">with the recruitment and retention of teaching assistants. Partners developed an accredited course focusing on supporting pupils with additional learning needs, with embedded careers advice to explore </w:t>
      </w:r>
      <w:r w:rsidR="00441A41" w:rsidRPr="00F21482">
        <w:rPr>
          <w:bCs/>
        </w:rPr>
        <w:t>learners’</w:t>
      </w:r>
      <w:r w:rsidRPr="00F21482">
        <w:rPr>
          <w:bCs/>
        </w:rPr>
        <w:t xml:space="preserve"> aspirations and build their motivation and commitment to the role.</w:t>
      </w:r>
      <w:r>
        <w:rPr>
          <w:bCs/>
        </w:rPr>
        <w:t xml:space="preserve"> One participant said:</w:t>
      </w:r>
    </w:p>
    <w:p w14:paraId="228AD169" w14:textId="2B0AC381" w:rsidR="00E002EC" w:rsidRDefault="00E002EC" w:rsidP="00E002EC">
      <w:pPr>
        <w:pStyle w:val="LWBody"/>
        <w:ind w:left="720"/>
        <w:rPr>
          <w:bCs/>
          <w:i/>
          <w:iCs/>
        </w:rPr>
      </w:pPr>
      <w:r w:rsidRPr="00F70483">
        <w:rPr>
          <w:bCs/>
          <w:i/>
          <w:iCs/>
        </w:rPr>
        <w:t>A lot of the partner organi</w:t>
      </w:r>
      <w:r>
        <w:rPr>
          <w:bCs/>
          <w:i/>
          <w:iCs/>
        </w:rPr>
        <w:t>s</w:t>
      </w:r>
      <w:r w:rsidRPr="00F70483">
        <w:rPr>
          <w:bCs/>
          <w:i/>
          <w:iCs/>
        </w:rPr>
        <w:t xml:space="preserve">ations that some of the funding has been diverted into like </w:t>
      </w:r>
      <w:r>
        <w:rPr>
          <w:bCs/>
          <w:i/>
          <w:iCs/>
        </w:rPr>
        <w:t>C</w:t>
      </w:r>
      <w:r w:rsidRPr="00F70483">
        <w:rPr>
          <w:bCs/>
          <w:i/>
          <w:iCs/>
        </w:rPr>
        <w:t>ommunities for</w:t>
      </w:r>
      <w:r>
        <w:rPr>
          <w:bCs/>
          <w:i/>
          <w:iCs/>
        </w:rPr>
        <w:t xml:space="preserve"> W</w:t>
      </w:r>
      <w:r w:rsidRPr="00F70483">
        <w:rPr>
          <w:bCs/>
          <w:i/>
          <w:iCs/>
        </w:rPr>
        <w:t xml:space="preserve">ork and </w:t>
      </w:r>
      <w:r>
        <w:rPr>
          <w:bCs/>
          <w:i/>
          <w:iCs/>
        </w:rPr>
        <w:t>J</w:t>
      </w:r>
      <w:r w:rsidRPr="00F70483">
        <w:rPr>
          <w:bCs/>
          <w:i/>
          <w:iCs/>
        </w:rPr>
        <w:t xml:space="preserve">ob </w:t>
      </w:r>
      <w:r>
        <w:rPr>
          <w:bCs/>
          <w:i/>
          <w:iCs/>
        </w:rPr>
        <w:t>C</w:t>
      </w:r>
      <w:r w:rsidRPr="00F70483">
        <w:rPr>
          <w:bCs/>
          <w:i/>
          <w:iCs/>
        </w:rPr>
        <w:t>e</w:t>
      </w:r>
      <w:r>
        <w:rPr>
          <w:bCs/>
          <w:i/>
          <w:iCs/>
        </w:rPr>
        <w:t>n</w:t>
      </w:r>
      <w:r w:rsidRPr="00F70483">
        <w:rPr>
          <w:bCs/>
          <w:i/>
          <w:iCs/>
        </w:rPr>
        <w:t xml:space="preserve">tre </w:t>
      </w:r>
      <w:r>
        <w:rPr>
          <w:bCs/>
          <w:i/>
          <w:iCs/>
        </w:rPr>
        <w:t>P</w:t>
      </w:r>
      <w:r w:rsidRPr="00F70483">
        <w:rPr>
          <w:bCs/>
          <w:i/>
          <w:iCs/>
        </w:rPr>
        <w:t>lus</w:t>
      </w:r>
      <w:r>
        <w:rPr>
          <w:bCs/>
          <w:i/>
          <w:iCs/>
        </w:rPr>
        <w:t xml:space="preserve"> </w:t>
      </w:r>
      <w:r w:rsidR="00BE71C6">
        <w:rPr>
          <w:bCs/>
          <w:i/>
          <w:iCs/>
        </w:rPr>
        <w:t xml:space="preserve">- </w:t>
      </w:r>
      <w:r w:rsidR="00BE71C6" w:rsidRPr="00F70483">
        <w:rPr>
          <w:bCs/>
          <w:i/>
          <w:iCs/>
        </w:rPr>
        <w:t>they</w:t>
      </w:r>
      <w:r w:rsidRPr="00F70483">
        <w:rPr>
          <w:bCs/>
          <w:i/>
          <w:iCs/>
        </w:rPr>
        <w:t xml:space="preserve"> will fund us to do local tailored provision that they know we can't do through the government grant. So I'm very lucky here that I</w:t>
      </w:r>
      <w:r>
        <w:rPr>
          <w:bCs/>
          <w:i/>
          <w:iCs/>
        </w:rPr>
        <w:t>’ve</w:t>
      </w:r>
      <w:r w:rsidRPr="00F70483">
        <w:rPr>
          <w:bCs/>
          <w:i/>
          <w:iCs/>
        </w:rPr>
        <w:t xml:space="preserve"> got understanding partners and stakeholders and we've had </w:t>
      </w:r>
      <w:r>
        <w:rPr>
          <w:bCs/>
          <w:i/>
          <w:iCs/>
        </w:rPr>
        <w:t>ten</w:t>
      </w:r>
      <w:r w:rsidRPr="00F70483">
        <w:rPr>
          <w:bCs/>
          <w:i/>
          <w:iCs/>
        </w:rPr>
        <w:t xml:space="preserve"> years of working with them. You know there's a lot of trust, a lot of understanding. If there is a hole in the market generally somebody out there has got some funding to help us.</w:t>
      </w:r>
    </w:p>
    <w:p w14:paraId="42906D68" w14:textId="00EC90E1" w:rsidR="00E002EC" w:rsidRDefault="00E002EC" w:rsidP="00E002EC">
      <w:pPr>
        <w:pStyle w:val="LWBody"/>
        <w:rPr>
          <w:bCs/>
        </w:rPr>
      </w:pPr>
      <w:r>
        <w:rPr>
          <w:bCs/>
        </w:rPr>
        <w:t xml:space="preserve">Participants identified a range of types of provision for which there is considerable </w:t>
      </w:r>
      <w:r w:rsidR="00BE71C6">
        <w:rPr>
          <w:bCs/>
        </w:rPr>
        <w:t>demand,</w:t>
      </w:r>
      <w:r>
        <w:rPr>
          <w:bCs/>
        </w:rPr>
        <w:t xml:space="preserve"> and which have the potential to engage many more learners if delivery could be expanded. These include:</w:t>
      </w:r>
    </w:p>
    <w:p w14:paraId="39C1F477" w14:textId="77777777" w:rsidR="00E002EC" w:rsidRDefault="00E002EC">
      <w:pPr>
        <w:pStyle w:val="LWBody"/>
        <w:numPr>
          <w:ilvl w:val="0"/>
          <w:numId w:val="13"/>
        </w:numPr>
        <w:rPr>
          <w:bCs/>
        </w:rPr>
      </w:pPr>
      <w:r>
        <w:rPr>
          <w:bCs/>
        </w:rPr>
        <w:t>Family learning, which one participant stated they could expand ten-fold as they always have waiting lists.</w:t>
      </w:r>
    </w:p>
    <w:p w14:paraId="60CC5038" w14:textId="1215BCBE" w:rsidR="00E002EC" w:rsidRDefault="00E002EC">
      <w:pPr>
        <w:pStyle w:val="LWBody"/>
        <w:numPr>
          <w:ilvl w:val="0"/>
          <w:numId w:val="13"/>
        </w:numPr>
        <w:rPr>
          <w:bCs/>
        </w:rPr>
      </w:pPr>
      <w:r>
        <w:rPr>
          <w:bCs/>
        </w:rPr>
        <w:t>Learning linked to key employment sectors such as health and social care, green skills and digital. It was suggested by several participants that the Partnerships could do more to engage employers and understand their workforce needs, and providers should be explicit in their communication with employers about the ways in which adult learning can support both upskilling and reskilling for the local labour market.</w:t>
      </w:r>
    </w:p>
    <w:p w14:paraId="192E7021" w14:textId="77777777" w:rsidR="00E002EC" w:rsidRDefault="00E002EC">
      <w:pPr>
        <w:pStyle w:val="LWBody"/>
        <w:numPr>
          <w:ilvl w:val="0"/>
          <w:numId w:val="13"/>
        </w:numPr>
        <w:rPr>
          <w:bCs/>
        </w:rPr>
      </w:pPr>
      <w:r>
        <w:rPr>
          <w:bCs/>
        </w:rPr>
        <w:t>Learning to support mental wellbeing, which was identified as a key issue due to the pandemic and cost of living.</w:t>
      </w:r>
    </w:p>
    <w:p w14:paraId="2590582A" w14:textId="2F459A21" w:rsidR="00E002EC" w:rsidRDefault="00E002EC" w:rsidP="00E002EC">
      <w:pPr>
        <w:pStyle w:val="LWBody"/>
        <w:rPr>
          <w:bCs/>
        </w:rPr>
      </w:pPr>
      <w:r>
        <w:rPr>
          <w:bCs/>
        </w:rPr>
        <w:t xml:space="preserve">Secondly, joining up progression routes between </w:t>
      </w:r>
      <w:r w:rsidR="00BE71C6">
        <w:rPr>
          <w:bCs/>
        </w:rPr>
        <w:t>community-based</w:t>
      </w:r>
      <w:r>
        <w:rPr>
          <w:bCs/>
        </w:rPr>
        <w:t xml:space="preserve"> learning and FE can help to address barriers to progression. Several participants noted that the transition can present a significant challenge for learners, and providers therefore have a range of support measures in place. For example:</w:t>
      </w:r>
    </w:p>
    <w:p w14:paraId="2D93033F" w14:textId="77777777" w:rsidR="00E002EC" w:rsidRDefault="00E002EC">
      <w:pPr>
        <w:pStyle w:val="LWBody"/>
        <w:numPr>
          <w:ilvl w:val="0"/>
          <w:numId w:val="12"/>
        </w:numPr>
        <w:rPr>
          <w:bCs/>
        </w:rPr>
      </w:pPr>
      <w:r>
        <w:rPr>
          <w:bCs/>
        </w:rPr>
        <w:lastRenderedPageBreak/>
        <w:t xml:space="preserve">Eligible learners are supported to </w:t>
      </w:r>
      <w:r w:rsidRPr="000D115D">
        <w:rPr>
          <w:bCs/>
        </w:rPr>
        <w:t>access Personal Learning Accounts</w:t>
      </w:r>
      <w:r>
        <w:rPr>
          <w:bCs/>
        </w:rPr>
        <w:t xml:space="preserve">, which can reduce </w:t>
      </w:r>
      <w:r w:rsidRPr="000D115D">
        <w:rPr>
          <w:bCs/>
        </w:rPr>
        <w:t>financial barriers</w:t>
      </w:r>
      <w:r>
        <w:rPr>
          <w:bCs/>
        </w:rPr>
        <w:t xml:space="preserve"> to entering FE.</w:t>
      </w:r>
    </w:p>
    <w:p w14:paraId="7BF0665E" w14:textId="6CE0114F" w:rsidR="00E002EC" w:rsidRDefault="00E002EC">
      <w:pPr>
        <w:pStyle w:val="LWBody"/>
        <w:numPr>
          <w:ilvl w:val="0"/>
          <w:numId w:val="11"/>
        </w:numPr>
        <w:rPr>
          <w:bCs/>
        </w:rPr>
      </w:pPr>
      <w:r>
        <w:rPr>
          <w:bCs/>
        </w:rPr>
        <w:t xml:space="preserve">Information and signposting on progression options are embedded into </w:t>
      </w:r>
      <w:r w:rsidR="00BE71C6">
        <w:rPr>
          <w:bCs/>
        </w:rPr>
        <w:t>community-based</w:t>
      </w:r>
      <w:r>
        <w:rPr>
          <w:bCs/>
        </w:rPr>
        <w:t xml:space="preserve"> programmes, with tutors having knowledge of progression routes from their courses which they can communicate confidently to learners.  </w:t>
      </w:r>
    </w:p>
    <w:p w14:paraId="50942639" w14:textId="481BE432" w:rsidR="00E002EC" w:rsidRDefault="00E002EC">
      <w:pPr>
        <w:pStyle w:val="LWBody"/>
        <w:numPr>
          <w:ilvl w:val="0"/>
          <w:numId w:val="11"/>
        </w:numPr>
        <w:rPr>
          <w:bCs/>
        </w:rPr>
      </w:pPr>
      <w:r>
        <w:rPr>
          <w:bCs/>
        </w:rPr>
        <w:t>Learners are taken on group visits to colleges or universities which offer progression opportunities, to show them what is available and provide an introduction to the institution and what it can offer. In one instance we heard about</w:t>
      </w:r>
      <w:r w:rsidR="000B7614">
        <w:rPr>
          <w:bCs/>
        </w:rPr>
        <w:t xml:space="preserve"> how</w:t>
      </w:r>
      <w:r>
        <w:rPr>
          <w:bCs/>
        </w:rPr>
        <w:t xml:space="preserve"> learners were offered an opportunity to access the college’s careers advice service as part of their introductory visit.</w:t>
      </w:r>
    </w:p>
    <w:p w14:paraId="5E8B3F22" w14:textId="1C36ABBC" w:rsidR="00E002EC" w:rsidRDefault="00E002EC">
      <w:pPr>
        <w:pStyle w:val="LWBody"/>
        <w:numPr>
          <w:ilvl w:val="0"/>
          <w:numId w:val="11"/>
        </w:numPr>
        <w:rPr>
          <w:bCs/>
          <w:i/>
          <w:iCs/>
        </w:rPr>
      </w:pPr>
      <w:r w:rsidRPr="000D115D">
        <w:rPr>
          <w:bCs/>
        </w:rPr>
        <w:t xml:space="preserve">College and HE tutors come into </w:t>
      </w:r>
      <w:r w:rsidR="000B7614" w:rsidRPr="000D115D">
        <w:rPr>
          <w:bCs/>
        </w:rPr>
        <w:t>community-based</w:t>
      </w:r>
      <w:r w:rsidRPr="000D115D">
        <w:rPr>
          <w:bCs/>
        </w:rPr>
        <w:t xml:space="preserve"> settings to talk to learners about progression </w:t>
      </w:r>
      <w:r w:rsidR="00BE71C6" w:rsidRPr="000D115D">
        <w:rPr>
          <w:bCs/>
        </w:rPr>
        <w:t>opportunities</w:t>
      </w:r>
      <w:r w:rsidRPr="000D115D">
        <w:rPr>
          <w:bCs/>
        </w:rPr>
        <w:t xml:space="preserve">, run taster sessions, and in some </w:t>
      </w:r>
      <w:r>
        <w:rPr>
          <w:bCs/>
        </w:rPr>
        <w:t>cas</w:t>
      </w:r>
      <w:r w:rsidRPr="000D115D">
        <w:rPr>
          <w:bCs/>
        </w:rPr>
        <w:t>es deliver courses to learners who do not yet feel ready to take the step to learning in the college.</w:t>
      </w:r>
    </w:p>
    <w:p w14:paraId="1F01E0CF" w14:textId="1B36EA1C" w:rsidR="00E002EC" w:rsidRDefault="00E002EC" w:rsidP="00E002EC">
      <w:pPr>
        <w:pStyle w:val="LWBody"/>
        <w:rPr>
          <w:bCs/>
        </w:rPr>
      </w:pPr>
      <w:r>
        <w:rPr>
          <w:bCs/>
        </w:rPr>
        <w:t xml:space="preserve">Thirdly, a more holistic approach can be taken towards meeting learners needs, by joining up the range of services and learning provision that they require.  For example, one Partnership is using the relationship between the college and the local authority to formalise the offer of ESOL funded through the adult learning grant to Ukrainian refugees enrolled on college courses.  </w:t>
      </w:r>
    </w:p>
    <w:p w14:paraId="261A166E" w14:textId="77777777" w:rsidR="00E002EC" w:rsidRDefault="00E002EC" w:rsidP="00E002EC">
      <w:pPr>
        <w:pStyle w:val="LWTitle3"/>
        <w:rPr>
          <w:lang w:val="en-GB"/>
        </w:rPr>
      </w:pPr>
      <w:bookmarkStart w:id="25" w:name="_Toc133414342"/>
      <w:bookmarkStart w:id="26" w:name="_Toc133569851"/>
      <w:r w:rsidRPr="008C31D7">
        <w:rPr>
          <w:lang w:val="en-GB"/>
        </w:rPr>
        <w:t>Issues and challenges</w:t>
      </w:r>
      <w:bookmarkEnd w:id="25"/>
      <w:bookmarkEnd w:id="26"/>
    </w:p>
    <w:p w14:paraId="51DB3A66" w14:textId="77777777" w:rsidR="00E002EC" w:rsidRDefault="00E002EC" w:rsidP="00E002EC">
      <w:pPr>
        <w:pStyle w:val="LWBody"/>
        <w:rPr>
          <w:bCs/>
        </w:rPr>
      </w:pPr>
      <w:r>
        <w:rPr>
          <w:bCs/>
        </w:rPr>
        <w:t xml:space="preserve">Our discussions suggest that Partnerships currently face a number of challenges which hamper their ability to deliver the right mix and balance of provision to meet local needs.  These issues fall under the broad themes of: data; funding; and workforce capacity.  </w:t>
      </w:r>
    </w:p>
    <w:p w14:paraId="625C3CFC" w14:textId="77777777" w:rsidR="00E002EC" w:rsidRDefault="00E002EC" w:rsidP="00E002EC">
      <w:pPr>
        <w:pStyle w:val="LWBody"/>
        <w:rPr>
          <w:b/>
          <w:i/>
          <w:iCs/>
        </w:rPr>
      </w:pPr>
      <w:r>
        <w:rPr>
          <w:b/>
          <w:i/>
          <w:iCs/>
        </w:rPr>
        <w:t>Data</w:t>
      </w:r>
    </w:p>
    <w:p w14:paraId="079C78E6" w14:textId="77777777" w:rsidR="00E002EC" w:rsidRDefault="00E002EC" w:rsidP="00E002EC">
      <w:pPr>
        <w:pStyle w:val="LWBody"/>
        <w:rPr>
          <w:bCs/>
        </w:rPr>
      </w:pPr>
      <w:r>
        <w:rPr>
          <w:bCs/>
        </w:rPr>
        <w:t>Three areas of concern were raised in relation to the data on which Partnerships base their delivery.</w:t>
      </w:r>
    </w:p>
    <w:p w14:paraId="18D6D1DE" w14:textId="66F69173" w:rsidR="00E002EC" w:rsidRDefault="00E002EC">
      <w:pPr>
        <w:pStyle w:val="LWBody"/>
        <w:numPr>
          <w:ilvl w:val="0"/>
          <w:numId w:val="14"/>
        </w:numPr>
        <w:rPr>
          <w:bCs/>
        </w:rPr>
      </w:pPr>
      <w:r>
        <w:rPr>
          <w:bCs/>
        </w:rPr>
        <w:t xml:space="preserve">Lack of access to good quality data on local learning needs undermines the ability of some Partnerships to plan their provision effectively. It is important to stress that a spectrum of experience was evident here and some Partnerships indicated that they plan on the basis of robust local evidence. However, others were clearly struggling. </w:t>
      </w:r>
      <w:r w:rsidRPr="0039533C">
        <w:rPr>
          <w:bCs/>
        </w:rPr>
        <w:t xml:space="preserve">One </w:t>
      </w:r>
      <w:r>
        <w:rPr>
          <w:bCs/>
        </w:rPr>
        <w:t>participa</w:t>
      </w:r>
      <w:r w:rsidRPr="0039533C">
        <w:rPr>
          <w:bCs/>
        </w:rPr>
        <w:t xml:space="preserve">nt stated that they are not sure whether there is unmet </w:t>
      </w:r>
      <w:r>
        <w:rPr>
          <w:bCs/>
        </w:rPr>
        <w:t xml:space="preserve">local </w:t>
      </w:r>
      <w:r w:rsidRPr="0039533C">
        <w:rPr>
          <w:bCs/>
        </w:rPr>
        <w:t>need</w:t>
      </w:r>
      <w:r>
        <w:rPr>
          <w:bCs/>
        </w:rPr>
        <w:t xml:space="preserve">, while another reflected that there are probably lots of gaps and these are likely to have changed as a result of the pandemic, but they are not clear exactly what they are. Several specifically mentioned that they are unable to access good local labour market information (LMI). The college-based participant from one Partnership highlighted the contrast between the LMI that is available from the RSP to inform planning for full-time FE, and the absence of any equivalent data that would help with planning adult learning. </w:t>
      </w:r>
    </w:p>
    <w:p w14:paraId="043E01FA" w14:textId="522B345D" w:rsidR="00E002EC" w:rsidRDefault="00E002EC">
      <w:pPr>
        <w:pStyle w:val="LWBody"/>
        <w:numPr>
          <w:ilvl w:val="0"/>
          <w:numId w:val="14"/>
        </w:numPr>
        <w:rPr>
          <w:bCs/>
        </w:rPr>
      </w:pPr>
      <w:r>
        <w:rPr>
          <w:bCs/>
        </w:rPr>
        <w:lastRenderedPageBreak/>
        <w:t>Weaknesses in the management information held by some Partnerships means that they are operating with limited intelligence about who their learners are, which local areas and backgrounds they come from, who is missing, what outcomes they achieve, and where they go after completing a course, although it is recognised that this d</w:t>
      </w:r>
      <w:r w:rsidRPr="000330E8">
        <w:rPr>
          <w:bCs/>
        </w:rPr>
        <w:t xml:space="preserve">ata </w:t>
      </w:r>
      <w:r>
        <w:rPr>
          <w:bCs/>
        </w:rPr>
        <w:t xml:space="preserve">is vital </w:t>
      </w:r>
      <w:r w:rsidRPr="000330E8">
        <w:rPr>
          <w:bCs/>
        </w:rPr>
        <w:t xml:space="preserve">to support </w:t>
      </w:r>
      <w:r>
        <w:rPr>
          <w:bCs/>
        </w:rPr>
        <w:t xml:space="preserve">engagement, </w:t>
      </w:r>
      <w:r w:rsidR="009C4ACD" w:rsidRPr="000330E8">
        <w:rPr>
          <w:bCs/>
        </w:rPr>
        <w:t>retention,</w:t>
      </w:r>
      <w:r w:rsidRPr="000330E8">
        <w:rPr>
          <w:bCs/>
        </w:rPr>
        <w:t xml:space="preserve"> and progression</w:t>
      </w:r>
      <w:r>
        <w:rPr>
          <w:bCs/>
        </w:rPr>
        <w:t>. There were indications that these issues may be less apparent where a college</w:t>
      </w:r>
      <w:r w:rsidR="00BE71C6">
        <w:rPr>
          <w:bCs/>
        </w:rPr>
        <w:t xml:space="preserve"> </w:t>
      </w:r>
      <w:r>
        <w:rPr>
          <w:bCs/>
        </w:rPr>
        <w:t xml:space="preserve">is engaged to manage data on behalf of the Partnership.  </w:t>
      </w:r>
    </w:p>
    <w:p w14:paraId="59DE7C81" w14:textId="2583F3C3" w:rsidR="00E002EC" w:rsidRPr="00710695" w:rsidRDefault="00E002EC">
      <w:pPr>
        <w:pStyle w:val="LWBody"/>
        <w:numPr>
          <w:ilvl w:val="0"/>
          <w:numId w:val="14"/>
        </w:numPr>
        <w:rPr>
          <w:bCs/>
        </w:rPr>
      </w:pPr>
      <w:r>
        <w:rPr>
          <w:bCs/>
        </w:rPr>
        <w:t xml:space="preserve">Where data was reported to be patchy, this was largely attributed to difficulties around data sharing between partners. </w:t>
      </w:r>
      <w:r w:rsidRPr="00710695">
        <w:rPr>
          <w:bCs/>
        </w:rPr>
        <w:t>One participant said:</w:t>
      </w:r>
    </w:p>
    <w:p w14:paraId="475B52E7" w14:textId="77777777" w:rsidR="00E002EC" w:rsidRDefault="00E002EC" w:rsidP="00E002EC">
      <w:pPr>
        <w:pStyle w:val="LWBody"/>
        <w:ind w:left="720"/>
        <w:rPr>
          <w:bCs/>
        </w:rPr>
      </w:pPr>
      <w:r>
        <w:rPr>
          <w:bCs/>
          <w:i/>
          <w:iCs/>
        </w:rPr>
        <w:t xml:space="preserve">Data sharing is a massive issue which blocks effectiveness.  </w:t>
      </w:r>
    </w:p>
    <w:p w14:paraId="1588534B" w14:textId="1C36CD1C" w:rsidR="00E002EC" w:rsidRDefault="00E002EC" w:rsidP="00E002EC">
      <w:pPr>
        <w:pStyle w:val="LWBody"/>
        <w:ind w:left="720"/>
        <w:rPr>
          <w:bCs/>
        </w:rPr>
      </w:pPr>
      <w:r>
        <w:rPr>
          <w:bCs/>
        </w:rPr>
        <w:t xml:space="preserve">Participants consistently stated that data sharing is a key issue where action is needed. Participants from some colleges that take the lead on quality within their Partnerships reported being hampered by difficulties with accessing outcomes data from partners </w:t>
      </w:r>
      <w:r w:rsidR="00BE71C6">
        <w:rPr>
          <w:bCs/>
        </w:rPr>
        <w:t>unless they</w:t>
      </w:r>
      <w:r>
        <w:rPr>
          <w:bCs/>
        </w:rPr>
        <w:t xml:space="preserve"> have a formal outsourcing arrangement in place for data </w:t>
      </w:r>
      <w:proofErr w:type="gramStart"/>
      <w:r>
        <w:rPr>
          <w:bCs/>
        </w:rPr>
        <w:t>management, and</w:t>
      </w:r>
      <w:proofErr w:type="gramEnd"/>
      <w:r>
        <w:rPr>
          <w:bCs/>
        </w:rPr>
        <w:t xml:space="preserve"> stated that some partners may choose not to share their data.  The difficulties were attributed to fragmentation and weak coordination within some Partnerships, and perceptions of the restrictions resulting from GDPR. </w:t>
      </w:r>
    </w:p>
    <w:p w14:paraId="29F022E3" w14:textId="77777777" w:rsidR="00E002EC" w:rsidRDefault="00E002EC" w:rsidP="00E002EC">
      <w:pPr>
        <w:pStyle w:val="LWBody"/>
        <w:rPr>
          <w:b/>
          <w:i/>
          <w:iCs/>
        </w:rPr>
      </w:pPr>
      <w:r>
        <w:rPr>
          <w:b/>
          <w:i/>
          <w:iCs/>
        </w:rPr>
        <w:t>Funding</w:t>
      </w:r>
    </w:p>
    <w:p w14:paraId="7C77329B" w14:textId="5E84BA49" w:rsidR="00E002EC" w:rsidRDefault="00E002EC" w:rsidP="00E002EC">
      <w:pPr>
        <w:pStyle w:val="LWBody"/>
        <w:rPr>
          <w:bCs/>
        </w:rPr>
      </w:pPr>
      <w:r>
        <w:rPr>
          <w:bCs/>
        </w:rPr>
        <w:t xml:space="preserve">Participants consistently expressed the view that, fundamentally, the value of the funding allocated to adult learning is not enough to meet local learning needs and to enable the sector to fulfil the role that is envisaged for it as the key engagement pathway into second chance learning. Furthermore, funding does not cover any of the costs of the Partnerships themselves. </w:t>
      </w:r>
    </w:p>
    <w:p w14:paraId="03DD63D7" w14:textId="77777777" w:rsidR="00E002EC" w:rsidRDefault="00E002EC" w:rsidP="00E002EC">
      <w:pPr>
        <w:pStyle w:val="LWBody"/>
        <w:ind w:left="567"/>
        <w:rPr>
          <w:bCs/>
          <w:i/>
          <w:iCs/>
        </w:rPr>
      </w:pPr>
      <w:r w:rsidRPr="006C3743">
        <w:rPr>
          <w:bCs/>
          <w:i/>
          <w:iCs/>
        </w:rPr>
        <w:t xml:space="preserve">There are probably lots of gaps in the provision but with the current level of funding we've got, I don't think we'll be able to plug everything. </w:t>
      </w:r>
    </w:p>
    <w:p w14:paraId="5F4BE893" w14:textId="4080F868" w:rsidR="00E002EC" w:rsidRPr="006C3743" w:rsidRDefault="00E002EC" w:rsidP="00E002EC">
      <w:pPr>
        <w:pStyle w:val="LWBody"/>
        <w:ind w:left="567"/>
        <w:rPr>
          <w:bCs/>
          <w:i/>
          <w:iCs/>
        </w:rPr>
      </w:pPr>
      <w:r w:rsidRPr="006C3743">
        <w:rPr>
          <w:bCs/>
          <w:i/>
          <w:iCs/>
          <w:lang w:val="en-US"/>
        </w:rPr>
        <w:t>There's never enough funding and we will grow deman</w:t>
      </w:r>
      <w:r>
        <w:rPr>
          <w:bCs/>
          <w:i/>
          <w:iCs/>
          <w:lang w:val="en-US"/>
        </w:rPr>
        <w:t xml:space="preserve">d, </w:t>
      </w:r>
      <w:r w:rsidRPr="006C3743">
        <w:rPr>
          <w:bCs/>
          <w:i/>
          <w:iCs/>
          <w:lang w:val="en-US"/>
        </w:rPr>
        <w:t>grow provision to meet demand</w:t>
      </w:r>
      <w:r>
        <w:rPr>
          <w:bCs/>
          <w:i/>
          <w:iCs/>
          <w:lang w:val="en-US"/>
        </w:rPr>
        <w:t>,</w:t>
      </w:r>
      <w:r w:rsidRPr="006C3743">
        <w:rPr>
          <w:bCs/>
          <w:i/>
          <w:iCs/>
          <w:lang w:val="en-US"/>
        </w:rPr>
        <w:t xml:space="preserve"> if we've got the funding to do it. But I think it's that bit really about what actual core funding is needed to really deliver</w:t>
      </w:r>
      <w:r>
        <w:rPr>
          <w:bCs/>
          <w:i/>
          <w:iCs/>
          <w:lang w:val="en-US"/>
        </w:rPr>
        <w:t xml:space="preserve"> </w:t>
      </w:r>
      <w:r w:rsidRPr="006C3743">
        <w:rPr>
          <w:bCs/>
          <w:i/>
          <w:iCs/>
          <w:lang w:val="en-US"/>
        </w:rPr>
        <w:t xml:space="preserve">provision and a </w:t>
      </w:r>
      <w:r w:rsidR="00BE71C6">
        <w:rPr>
          <w:bCs/>
          <w:i/>
          <w:iCs/>
          <w:lang w:val="en-US"/>
        </w:rPr>
        <w:t>P</w:t>
      </w:r>
      <w:r w:rsidR="00BE71C6" w:rsidRPr="006C3743">
        <w:rPr>
          <w:bCs/>
          <w:i/>
          <w:iCs/>
          <w:lang w:val="en-US"/>
        </w:rPr>
        <w:t>artnership.</w:t>
      </w:r>
    </w:p>
    <w:p w14:paraId="7E263574" w14:textId="651915AC" w:rsidR="00E002EC" w:rsidRDefault="00E002EC" w:rsidP="00E002EC">
      <w:pPr>
        <w:pStyle w:val="LWBody"/>
        <w:rPr>
          <w:bCs/>
        </w:rPr>
      </w:pPr>
      <w:r>
        <w:rPr>
          <w:bCs/>
        </w:rPr>
        <w:t xml:space="preserve">In one instance, a college participant reported that the value of the adult learning grant received by the local </w:t>
      </w:r>
      <w:r w:rsidR="00BE71C6">
        <w:rPr>
          <w:bCs/>
        </w:rPr>
        <w:t>authority</w:t>
      </w:r>
      <w:r>
        <w:rPr>
          <w:bCs/>
        </w:rPr>
        <w:t xml:space="preserve"> is just two-thirds of the actual costs of delivery. The college therefore caps the invoice and funds the additional work from its part time FE budget.  Participants from both colleges and local authorities stressed that their organisation effectively supplements the costs of adult learning delivery through the posts of staff involved in the Partnerships at strategic and operational levels and related infrastructure support.  </w:t>
      </w:r>
    </w:p>
    <w:p w14:paraId="1ADD8C1E" w14:textId="02E5E9A0" w:rsidR="00E002EC" w:rsidRDefault="00E002EC" w:rsidP="00E002EC">
      <w:pPr>
        <w:pStyle w:val="LWBody"/>
        <w:rPr>
          <w:bCs/>
        </w:rPr>
      </w:pPr>
      <w:r>
        <w:rPr>
          <w:bCs/>
        </w:rPr>
        <w:t xml:space="preserve">Participants also expressed concern that current approaches to funding do not necessarily </w:t>
      </w:r>
      <w:r>
        <w:t xml:space="preserve">support longer term planning and marketing of the curriculum. There was a clear sense </w:t>
      </w:r>
      <w:r>
        <w:lastRenderedPageBreak/>
        <w:t xml:space="preserve">that moving from an annual to a three-year funding cycle for adult learning, as is the case for Welsh for Adults and Wales Union Learning Fund, would be a significant step towards bringing stability and certainty to the sector. Furthermore, while short-term additional funding, such as the Welsh Government engagement funding, is very welcome, it can be difficult to sustain activity that is funded through it. For </w:t>
      </w:r>
      <w:r w:rsidR="00BE71C6">
        <w:t>example, if</w:t>
      </w:r>
      <w:r>
        <w:t xml:space="preserve"> the engagement funding is spent on a website, it is not clear how this can be maintained, and any staffing appointments can only be on short, fixed term contracts.  </w:t>
      </w:r>
    </w:p>
    <w:p w14:paraId="405520CF" w14:textId="49405526" w:rsidR="00E002EC" w:rsidRDefault="00E002EC" w:rsidP="00E002EC">
      <w:pPr>
        <w:pStyle w:val="LWBody"/>
        <w:rPr>
          <w:bCs/>
          <w:lang w:val="en-US"/>
        </w:rPr>
      </w:pPr>
      <w:r>
        <w:rPr>
          <w:bCs/>
          <w:lang w:val="en-US"/>
        </w:rPr>
        <w:t xml:space="preserve">Where Partnerships cover areas with low population density and poor transport links, participants highlighted the additional challenges that they face due to the higher costs associated with delivery. It was suggested that a sparsity element should be included in the funding model for adult learning, to enable providers to run viable courses with lower learner numbers.  </w:t>
      </w:r>
    </w:p>
    <w:p w14:paraId="1CD86ABC" w14:textId="457A47CD" w:rsidR="00E002EC" w:rsidRDefault="00E002EC" w:rsidP="00E002EC">
      <w:pPr>
        <w:pStyle w:val="LWBody"/>
        <w:rPr>
          <w:bCs/>
          <w:lang w:val="en-US"/>
        </w:rPr>
      </w:pPr>
      <w:r>
        <w:rPr>
          <w:bCs/>
          <w:lang w:val="en-US"/>
        </w:rPr>
        <w:t xml:space="preserve">Alongside the value of funding, participants also raised concerns about the challenges of managing the different funding streams that come into a local area for the engagement of adults in learning and skills, both from Welsh Government and from other sources. It was noted that this funding is often targeting the same people, leading to unhelpful competition between providers. For example, participants described having difficulties attracting digital skills learners due to competition from other projects. Generally, participants agreed that there could be better streamlining </w:t>
      </w:r>
      <w:r w:rsidRPr="00F001C7">
        <w:rPr>
          <w:bCs/>
          <w:lang w:val="en-US"/>
        </w:rPr>
        <w:t xml:space="preserve">of </w:t>
      </w:r>
      <w:r>
        <w:rPr>
          <w:bCs/>
          <w:lang w:val="en-US"/>
        </w:rPr>
        <w:t xml:space="preserve">funding for adult learning, part time FE and employability programmes that are delivered by both local authorities and colleges.  </w:t>
      </w:r>
    </w:p>
    <w:p w14:paraId="3583775A" w14:textId="6018A1A6" w:rsidR="00E002EC" w:rsidRDefault="00E002EC" w:rsidP="00E002EC">
      <w:pPr>
        <w:pStyle w:val="LWBody"/>
        <w:ind w:left="567"/>
        <w:rPr>
          <w:bCs/>
          <w:i/>
          <w:iCs/>
          <w:lang w:val="en-US"/>
        </w:rPr>
      </w:pPr>
      <w:r w:rsidRPr="0032471D">
        <w:rPr>
          <w:bCs/>
          <w:i/>
          <w:iCs/>
          <w:lang w:val="en-US"/>
        </w:rPr>
        <w:t>If you could simplify the funding and make it easier for local authorities to kind of pool resources and coordinate at local level</w:t>
      </w:r>
      <w:r>
        <w:rPr>
          <w:bCs/>
          <w:i/>
          <w:iCs/>
          <w:lang w:val="en-US"/>
        </w:rPr>
        <w:t>, t</w:t>
      </w:r>
      <w:r w:rsidRPr="0032471D">
        <w:rPr>
          <w:bCs/>
          <w:i/>
          <w:iCs/>
          <w:lang w:val="en-US"/>
        </w:rPr>
        <w:t>hat would be quite helpful.</w:t>
      </w:r>
    </w:p>
    <w:p w14:paraId="0F86955C" w14:textId="77777777" w:rsidR="00E002EC" w:rsidRPr="0032471D" w:rsidRDefault="00E002EC" w:rsidP="00E002EC">
      <w:pPr>
        <w:pStyle w:val="LWBody"/>
        <w:ind w:left="567"/>
        <w:rPr>
          <w:bCs/>
          <w:i/>
          <w:iCs/>
          <w:lang w:val="en-US"/>
        </w:rPr>
      </w:pPr>
      <w:r>
        <w:rPr>
          <w:bCs/>
          <w:i/>
          <w:iCs/>
          <w:lang w:val="en-US"/>
        </w:rPr>
        <w:t xml:space="preserve">It’s scrabbling for the same people, and since Covid, the people just aren’t coming out to play.  </w:t>
      </w:r>
    </w:p>
    <w:p w14:paraId="391C9FD9" w14:textId="77777777" w:rsidR="00E002EC" w:rsidRDefault="00E002EC" w:rsidP="00E002EC">
      <w:pPr>
        <w:pStyle w:val="LWBody"/>
      </w:pPr>
      <w:r>
        <w:t xml:space="preserve">The addition of the UK Government funded Multiply programme into the mix was clearly viewed with concern by many participants for adding another element of competition for numeracy learners, and potentially reducing enrolments that would contribute towards meeting their adult learning grant targets.  </w:t>
      </w:r>
    </w:p>
    <w:p w14:paraId="1A2D0EDE" w14:textId="77777777" w:rsidR="00E002EC" w:rsidRPr="00A844D6" w:rsidRDefault="00E002EC" w:rsidP="00E002EC">
      <w:pPr>
        <w:pStyle w:val="LWBody"/>
        <w:rPr>
          <w:b/>
          <w:i/>
          <w:iCs/>
        </w:rPr>
      </w:pPr>
      <w:r>
        <w:rPr>
          <w:b/>
          <w:i/>
          <w:iCs/>
        </w:rPr>
        <w:t>Workforce capacity</w:t>
      </w:r>
    </w:p>
    <w:p w14:paraId="4DA0159E" w14:textId="776E8D92" w:rsidR="00E002EC" w:rsidRPr="0039533C" w:rsidRDefault="00E002EC" w:rsidP="00E002EC">
      <w:pPr>
        <w:pStyle w:val="LWBody"/>
        <w:rPr>
          <w:bCs/>
        </w:rPr>
      </w:pPr>
      <w:r>
        <w:t xml:space="preserve">Partnerships’ ability to respond to local need was reported to be limited in some cases by the challenges that providers face in attracting suitably qualified tutors. This was noted in particular with regard to the recruitment of tutors to deliver Welsh medium general adult learning. Several participants noted that they have strong local Welsh for </w:t>
      </w:r>
      <w:r w:rsidR="00CD1BF6">
        <w:t>A</w:t>
      </w:r>
      <w:r>
        <w:t xml:space="preserve">dults provision, but there are few opportunities for learners to go on to develop and practice Welsh by applying it in a wider learning context, and for others who wish to learn in Welsh.  It was suggested that more could be done to promote careers in adult learning to Welsh-speaking practitioners in disciplines where there is demand. One participant also reported </w:t>
      </w:r>
      <w:r>
        <w:lastRenderedPageBreak/>
        <w:t xml:space="preserve">that they are aware of skills gaps in local industries which they could help to address, but they cannot recruit tutors.  </w:t>
      </w:r>
    </w:p>
    <w:p w14:paraId="116A265E" w14:textId="77777777" w:rsidR="00E002EC" w:rsidRPr="008C31D7" w:rsidRDefault="00E002EC" w:rsidP="00E002EC">
      <w:pPr>
        <w:pStyle w:val="LWTitle2"/>
      </w:pPr>
      <w:bookmarkStart w:id="27" w:name="_Toc133414343"/>
      <w:bookmarkStart w:id="28" w:name="_Toc133569852"/>
      <w:r w:rsidRPr="008C31D7">
        <w:t>Marketing</w:t>
      </w:r>
      <w:r>
        <w:t xml:space="preserve"> and </w:t>
      </w:r>
      <w:r w:rsidRPr="008C31D7">
        <w:t>promotion</w:t>
      </w:r>
      <w:bookmarkEnd w:id="27"/>
      <w:bookmarkEnd w:id="28"/>
    </w:p>
    <w:p w14:paraId="304EA111" w14:textId="673A05B5" w:rsidR="00E002EC" w:rsidRDefault="00E002EC" w:rsidP="00E002EC">
      <w:pPr>
        <w:pStyle w:val="LWBody"/>
      </w:pPr>
      <w:r>
        <w:t xml:space="preserve">This section reports our findings regarding Partnerships’ activities to market and promote learning opportunities to adults in their local area. As was noted above, the Covid-19 pandemic has had a severe negative impact on </w:t>
      </w:r>
      <w:r w:rsidR="00BE71C6">
        <w:t>participation</w:t>
      </w:r>
      <w:r>
        <w:t xml:space="preserve"> in adult learning, and participants in our study spoke of the need to restore the “habit and routine” of learning.  Making people aware of the learning that is available, and showing how it is relevant to their individual needs and interests, is an essential element of that reengagement.  </w:t>
      </w:r>
    </w:p>
    <w:p w14:paraId="5385D680" w14:textId="77777777" w:rsidR="00E002EC" w:rsidRPr="008C31D7" w:rsidRDefault="00E002EC" w:rsidP="00E002EC">
      <w:pPr>
        <w:pStyle w:val="LWTitle3"/>
        <w:rPr>
          <w:lang w:val="en-GB"/>
        </w:rPr>
      </w:pPr>
      <w:bookmarkStart w:id="29" w:name="_Toc133414344"/>
      <w:bookmarkStart w:id="30" w:name="_Toc133569853"/>
      <w:r w:rsidRPr="008C31D7">
        <w:rPr>
          <w:lang w:val="en-GB"/>
        </w:rPr>
        <w:t>Current approaches</w:t>
      </w:r>
      <w:bookmarkEnd w:id="29"/>
      <w:bookmarkEnd w:id="30"/>
    </w:p>
    <w:p w14:paraId="5082D7B9" w14:textId="2BBA3258" w:rsidR="00E002EC" w:rsidRDefault="00E002EC" w:rsidP="00E002EC">
      <w:pPr>
        <w:pStyle w:val="LWBody"/>
        <w:rPr>
          <w:bCs/>
        </w:rPr>
      </w:pPr>
      <w:r>
        <w:rPr>
          <w:bCs/>
        </w:rPr>
        <w:t xml:space="preserve">It is evident that, </w:t>
      </w:r>
      <w:r w:rsidR="00BE71C6">
        <w:rPr>
          <w:bCs/>
        </w:rPr>
        <w:t>overall</w:t>
      </w:r>
      <w:r>
        <w:rPr>
          <w:bCs/>
        </w:rPr>
        <w:t>, there has hitherto been little joint marketing and promotion of adult learning at Partnership level. Rather, e</w:t>
      </w:r>
      <w:r w:rsidRPr="0039533C">
        <w:rPr>
          <w:bCs/>
        </w:rPr>
        <w:t xml:space="preserve">ach </w:t>
      </w:r>
      <w:r>
        <w:rPr>
          <w:bCs/>
        </w:rPr>
        <w:t xml:space="preserve">provider does </w:t>
      </w:r>
      <w:r w:rsidRPr="0039533C">
        <w:rPr>
          <w:bCs/>
        </w:rPr>
        <w:t xml:space="preserve">their own </w:t>
      </w:r>
      <w:r>
        <w:rPr>
          <w:bCs/>
        </w:rPr>
        <w:t xml:space="preserve">publicity, using a range of materials and methods </w:t>
      </w:r>
      <w:proofErr w:type="gramStart"/>
      <w:r>
        <w:rPr>
          <w:bCs/>
        </w:rPr>
        <w:t>including:</w:t>
      </w:r>
      <w:proofErr w:type="gramEnd"/>
      <w:r>
        <w:rPr>
          <w:bCs/>
        </w:rPr>
        <w:t xml:space="preserve"> online and hard copy brochures and prospectuses; local radio and press; door-to-door leafleting; outreach events and taster sessions in the community; and social media. Several participants mentioned that they try to ensure that copies of partners’ individual prospectuses are available in </w:t>
      </w:r>
      <w:r w:rsidR="00BE69D8">
        <w:rPr>
          <w:bCs/>
        </w:rPr>
        <w:t>across locations in the partnership.</w:t>
      </w:r>
      <w:r>
        <w:rPr>
          <w:bCs/>
        </w:rPr>
        <w:t xml:space="preserve"> </w:t>
      </w:r>
    </w:p>
    <w:p w14:paraId="469AAB46" w14:textId="52FE891B" w:rsidR="00E002EC" w:rsidRPr="0039533C" w:rsidRDefault="00E002EC" w:rsidP="00E002EC">
      <w:pPr>
        <w:pStyle w:val="LWBody"/>
        <w:rPr>
          <w:bCs/>
        </w:rPr>
      </w:pPr>
      <w:r>
        <w:rPr>
          <w:bCs/>
        </w:rPr>
        <w:t>Nevertheless, there are indications of growing interest in and commitment to a greater degree of joint working on marketing and promotion, and participants highlighted this as an area where the engagement funding from Welsh Government has provided impetus to action. Pembrokeshire local authority has made its engagement funding available to the college partner so that the two organisations can develop a collaborative approach including joint open days, publicity materials displaying both partners’ logos and details of courses from both providers, and links to one another’s websites. Collaboration on learner engagement was d</w:t>
      </w:r>
      <w:r w:rsidRPr="0039533C">
        <w:rPr>
          <w:bCs/>
        </w:rPr>
        <w:t>escribed as “the low-hanging fruit” of partnership development</w:t>
      </w:r>
      <w:r>
        <w:rPr>
          <w:bCs/>
        </w:rPr>
        <w:t xml:space="preserve">. In other cases, participants reported that they plan to use the engagement funding to develop a web portal or similar online presence which would provide access for learners to the breadth of provision available across the Partnership. We also heard of several examples of work that is underway to develop a </w:t>
      </w:r>
      <w:r w:rsidR="00BE69D8">
        <w:rPr>
          <w:bCs/>
        </w:rPr>
        <w:t>distinctive</w:t>
      </w:r>
      <w:r>
        <w:rPr>
          <w:bCs/>
        </w:rPr>
        <w:t xml:space="preserve"> local brand for adult learning, to underpin more concerted efforts to build momentum around engagement.  </w:t>
      </w:r>
    </w:p>
    <w:p w14:paraId="36A978D1" w14:textId="77777777" w:rsidR="00E002EC" w:rsidRDefault="00E002EC" w:rsidP="00E002EC">
      <w:pPr>
        <w:pStyle w:val="LWTitle3"/>
        <w:rPr>
          <w:lang w:val="en-GB"/>
        </w:rPr>
      </w:pPr>
      <w:bookmarkStart w:id="31" w:name="_Toc133414345"/>
      <w:bookmarkStart w:id="32" w:name="_Toc133569854"/>
      <w:r w:rsidRPr="008C31D7">
        <w:rPr>
          <w:lang w:val="en-GB"/>
        </w:rPr>
        <w:t>Opportunities and strengths</w:t>
      </w:r>
      <w:bookmarkEnd w:id="31"/>
      <w:bookmarkEnd w:id="32"/>
    </w:p>
    <w:p w14:paraId="1E8CC258" w14:textId="1E3A4C51" w:rsidR="00E002EC" w:rsidRDefault="00E002EC" w:rsidP="00E002EC">
      <w:pPr>
        <w:pStyle w:val="LWBody"/>
        <w:rPr>
          <w:bCs/>
        </w:rPr>
      </w:pPr>
      <w:r>
        <w:rPr>
          <w:bCs/>
        </w:rPr>
        <w:t xml:space="preserve">Our discussions indicate that Partnerships are generally more successful at reaching and engaging target learners when they work in collaboration with other services and programmes that are already in touch with these adults. Staff from these partner organisations act as trusted intermediaries, and work with learning providers to develop referral routes and deliver outreach and engagement activities. For example: </w:t>
      </w:r>
    </w:p>
    <w:p w14:paraId="19086A56" w14:textId="77777777" w:rsidR="00E002EC" w:rsidRDefault="00E002EC">
      <w:pPr>
        <w:pStyle w:val="LWBody"/>
        <w:numPr>
          <w:ilvl w:val="0"/>
          <w:numId w:val="15"/>
        </w:numPr>
        <w:rPr>
          <w:bCs/>
        </w:rPr>
      </w:pPr>
      <w:r>
        <w:rPr>
          <w:bCs/>
        </w:rPr>
        <w:t xml:space="preserve">Providers from </w:t>
      </w:r>
      <w:proofErr w:type="gramStart"/>
      <w:r>
        <w:rPr>
          <w:bCs/>
        </w:rPr>
        <w:t>North East</w:t>
      </w:r>
      <w:proofErr w:type="gramEnd"/>
      <w:r>
        <w:rPr>
          <w:bCs/>
        </w:rPr>
        <w:t xml:space="preserve"> Wales Adult Learning Partnership co-hosted an outreach session for Afghan refugee families with Communities for Work and Red Cross.  On the basis of intelligence about learning needs gathered there, they were able to </w:t>
      </w:r>
      <w:r>
        <w:rPr>
          <w:bCs/>
        </w:rPr>
        <w:lastRenderedPageBreak/>
        <w:t xml:space="preserve">engage parents in digital and ESOL classes with the initial aim of supporting them to pass the UK driving test.  </w:t>
      </w:r>
    </w:p>
    <w:p w14:paraId="72E419D7" w14:textId="1026BAF1" w:rsidR="00E002EC" w:rsidRDefault="00E002EC">
      <w:pPr>
        <w:pStyle w:val="LWBody"/>
        <w:numPr>
          <w:ilvl w:val="0"/>
          <w:numId w:val="15"/>
        </w:numPr>
        <w:rPr>
          <w:bCs/>
        </w:rPr>
      </w:pPr>
      <w:r>
        <w:rPr>
          <w:bCs/>
        </w:rPr>
        <w:t>Joint working with schools was reported to be highly effective at engaging learners through Family Learning. Several participants indicated that this is an area that they would like to develop.</w:t>
      </w:r>
    </w:p>
    <w:p w14:paraId="33C03A94" w14:textId="77777777" w:rsidR="00E002EC" w:rsidRPr="00C11207" w:rsidRDefault="00E002EC">
      <w:pPr>
        <w:pStyle w:val="LWBody"/>
        <w:numPr>
          <w:ilvl w:val="0"/>
          <w:numId w:val="15"/>
        </w:numPr>
        <w:rPr>
          <w:bCs/>
        </w:rPr>
      </w:pPr>
      <w:r>
        <w:rPr>
          <w:bCs/>
        </w:rPr>
        <w:t xml:space="preserve">Adult learning providers are involved in the early stages of </w:t>
      </w:r>
      <w:r w:rsidRPr="00C11207">
        <w:rPr>
          <w:bCs/>
        </w:rPr>
        <w:t xml:space="preserve">development work to look at setting up community hubs across </w:t>
      </w:r>
      <w:r>
        <w:rPr>
          <w:bCs/>
        </w:rPr>
        <w:t>North Wales</w:t>
      </w:r>
      <w:r w:rsidRPr="00C11207">
        <w:rPr>
          <w:bCs/>
        </w:rPr>
        <w:t>, bringing in wider partners such as housing associations to provide engagement for communities with a range of services.</w:t>
      </w:r>
    </w:p>
    <w:p w14:paraId="709401C6" w14:textId="7AA51872" w:rsidR="00E002EC" w:rsidRPr="00D05203" w:rsidRDefault="00E002EC" w:rsidP="00E002EC">
      <w:pPr>
        <w:pStyle w:val="LWBody"/>
        <w:ind w:left="720"/>
        <w:rPr>
          <w:bCs/>
          <w:i/>
          <w:iCs/>
        </w:rPr>
      </w:pPr>
      <w:r w:rsidRPr="00D05203">
        <w:rPr>
          <w:bCs/>
          <w:i/>
          <w:iCs/>
        </w:rPr>
        <w:t xml:space="preserve">We want to create hubs where we bring together ourselves, housing associations, careers Wales, DWP. So that we've got that kind of a </w:t>
      </w:r>
      <w:r w:rsidR="00BE69D8" w:rsidRPr="00D05203">
        <w:rPr>
          <w:bCs/>
          <w:i/>
          <w:iCs/>
        </w:rPr>
        <w:t>wraparound</w:t>
      </w:r>
      <w:r w:rsidRPr="00D05203">
        <w:rPr>
          <w:bCs/>
          <w:i/>
          <w:iCs/>
        </w:rPr>
        <w:t xml:space="preserve"> service available for </w:t>
      </w:r>
      <w:r>
        <w:rPr>
          <w:bCs/>
          <w:i/>
          <w:iCs/>
        </w:rPr>
        <w:t xml:space="preserve">the </w:t>
      </w:r>
      <w:r w:rsidRPr="00D05203">
        <w:rPr>
          <w:bCs/>
          <w:i/>
          <w:iCs/>
        </w:rPr>
        <w:t xml:space="preserve">community in areas that are accessible by public transport. </w:t>
      </w:r>
      <w:r>
        <w:rPr>
          <w:bCs/>
          <w:i/>
          <w:iCs/>
        </w:rPr>
        <w:t>W</w:t>
      </w:r>
      <w:r w:rsidRPr="00D05203">
        <w:rPr>
          <w:bCs/>
          <w:i/>
          <w:iCs/>
        </w:rPr>
        <w:t>e need to look at this as being a huge opportunity for ACL in Wales.</w:t>
      </w:r>
    </w:p>
    <w:p w14:paraId="79150A1A" w14:textId="77777777" w:rsidR="00E002EC" w:rsidRPr="00C11207" w:rsidRDefault="00E002EC" w:rsidP="00E002EC">
      <w:pPr>
        <w:pStyle w:val="LWBody"/>
        <w:rPr>
          <w:bCs/>
        </w:rPr>
      </w:pPr>
      <w:r>
        <w:rPr>
          <w:bCs/>
        </w:rPr>
        <w:t>S</w:t>
      </w:r>
      <w:r w:rsidRPr="00C11207">
        <w:rPr>
          <w:bCs/>
        </w:rPr>
        <w:t xml:space="preserve">ome </w:t>
      </w:r>
      <w:r>
        <w:rPr>
          <w:bCs/>
        </w:rPr>
        <w:t>P</w:t>
      </w:r>
      <w:r w:rsidRPr="00C11207">
        <w:rPr>
          <w:bCs/>
        </w:rPr>
        <w:t>artnerships</w:t>
      </w:r>
      <w:r>
        <w:rPr>
          <w:bCs/>
        </w:rPr>
        <w:t xml:space="preserve"> have been</w:t>
      </w:r>
      <w:r w:rsidRPr="00C11207">
        <w:rPr>
          <w:bCs/>
        </w:rPr>
        <w:t xml:space="preserve"> able to draw on </w:t>
      </w:r>
      <w:r>
        <w:rPr>
          <w:bCs/>
        </w:rPr>
        <w:t xml:space="preserve">the </w:t>
      </w:r>
      <w:r w:rsidRPr="00C11207">
        <w:rPr>
          <w:bCs/>
        </w:rPr>
        <w:t>college</w:t>
      </w:r>
      <w:r>
        <w:rPr>
          <w:bCs/>
        </w:rPr>
        <w:t xml:space="preserve"> partner</w:t>
      </w:r>
      <w:r w:rsidRPr="00C11207">
        <w:rPr>
          <w:bCs/>
        </w:rPr>
        <w:t xml:space="preserve">’s marketing infrastructure to promote </w:t>
      </w:r>
      <w:r>
        <w:rPr>
          <w:bCs/>
        </w:rPr>
        <w:t>adult learning, although it was acknowledged that this may not have the reach into communities which are not ready to access college provision. One participant from a college indicated that they w</w:t>
      </w:r>
      <w:r w:rsidRPr="00C11207">
        <w:rPr>
          <w:bCs/>
        </w:rPr>
        <w:t xml:space="preserve">ould like to do an annual event for </w:t>
      </w:r>
      <w:r>
        <w:rPr>
          <w:bCs/>
        </w:rPr>
        <w:t xml:space="preserve">adult learning which </w:t>
      </w:r>
      <w:r w:rsidRPr="00C11207">
        <w:rPr>
          <w:bCs/>
        </w:rPr>
        <w:t>involv</w:t>
      </w:r>
      <w:r>
        <w:rPr>
          <w:bCs/>
        </w:rPr>
        <w:t>ed</w:t>
      </w:r>
      <w:r w:rsidRPr="00C11207">
        <w:rPr>
          <w:bCs/>
        </w:rPr>
        <w:t xml:space="preserve"> all partners</w:t>
      </w:r>
      <w:r>
        <w:rPr>
          <w:bCs/>
        </w:rPr>
        <w:t xml:space="preserve"> and </w:t>
      </w:r>
      <w:r w:rsidRPr="00C11207">
        <w:rPr>
          <w:bCs/>
        </w:rPr>
        <w:t>mirror</w:t>
      </w:r>
      <w:r>
        <w:rPr>
          <w:bCs/>
        </w:rPr>
        <w:t>ed</w:t>
      </w:r>
      <w:r w:rsidRPr="00C11207">
        <w:rPr>
          <w:bCs/>
        </w:rPr>
        <w:t xml:space="preserve"> the large events that the</w:t>
      </w:r>
      <w:r>
        <w:rPr>
          <w:bCs/>
        </w:rPr>
        <w:t>y</w:t>
      </w:r>
      <w:r w:rsidRPr="00C11207">
        <w:rPr>
          <w:bCs/>
        </w:rPr>
        <w:t xml:space="preserve"> lead for FE, HE and Apprenticeships.  </w:t>
      </w:r>
    </w:p>
    <w:p w14:paraId="37318D58" w14:textId="77777777" w:rsidR="00E002EC" w:rsidRPr="008C31D7" w:rsidRDefault="00E002EC" w:rsidP="00E002EC">
      <w:pPr>
        <w:pStyle w:val="LWTitle3"/>
        <w:rPr>
          <w:lang w:val="en-GB"/>
        </w:rPr>
      </w:pPr>
      <w:bookmarkStart w:id="33" w:name="_Toc133414346"/>
      <w:bookmarkStart w:id="34" w:name="_Toc133569855"/>
      <w:r w:rsidRPr="008C31D7">
        <w:rPr>
          <w:lang w:val="en-GB"/>
        </w:rPr>
        <w:t>Issues and challenges</w:t>
      </w:r>
      <w:bookmarkEnd w:id="33"/>
      <w:bookmarkEnd w:id="34"/>
    </w:p>
    <w:p w14:paraId="0308333A" w14:textId="40718F45" w:rsidR="00E002EC" w:rsidRDefault="00E002EC" w:rsidP="00E002EC">
      <w:pPr>
        <w:pStyle w:val="LWBody"/>
        <w:rPr>
          <w:bCs/>
        </w:rPr>
      </w:pPr>
      <w:r>
        <w:rPr>
          <w:bCs/>
        </w:rPr>
        <w:t>The key challenge which participants consistently referenced with regard to the marketing and promotion of adult learning was its low profile and lack of visibility with the general public. This was attributed to the lack of a single, clearly articulated concept of what adult learning is, and the associated absence of a unifying “brand.”</w:t>
      </w:r>
    </w:p>
    <w:p w14:paraId="6CA1EBC5" w14:textId="7E608F30" w:rsidR="00E002EC" w:rsidRPr="00AE0D9E" w:rsidRDefault="00E002EC" w:rsidP="00E002EC">
      <w:pPr>
        <w:pStyle w:val="LWBody"/>
        <w:ind w:left="567"/>
        <w:rPr>
          <w:bCs/>
          <w:i/>
          <w:iCs/>
        </w:rPr>
      </w:pPr>
      <w:r w:rsidRPr="00AE0D9E">
        <w:rPr>
          <w:bCs/>
          <w:i/>
          <w:iCs/>
        </w:rPr>
        <w:t>Marketing in ACL is poor. It is dreadful and almost every single provider has its own brand. Everyone's trying to sell something different in a different way</w:t>
      </w:r>
      <w:r w:rsidR="00BE69D8">
        <w:rPr>
          <w:bCs/>
          <w:i/>
          <w:iCs/>
        </w:rPr>
        <w:t xml:space="preserve"> </w:t>
      </w:r>
      <w:r w:rsidRPr="00AE0D9E">
        <w:rPr>
          <w:bCs/>
          <w:i/>
          <w:iCs/>
        </w:rPr>
        <w:t>and that's not working. I think the opportunities are in developing some sort of national brand for the sector so the people can clearly understand what it is we do.</w:t>
      </w:r>
    </w:p>
    <w:p w14:paraId="1ADECB26" w14:textId="7952ED8E" w:rsidR="00E002EC" w:rsidRPr="00C11207" w:rsidRDefault="00E002EC" w:rsidP="00E002EC">
      <w:pPr>
        <w:pStyle w:val="LWBody"/>
        <w:ind w:left="567"/>
        <w:rPr>
          <w:bCs/>
        </w:rPr>
      </w:pPr>
      <w:r w:rsidRPr="00AE0D9E">
        <w:rPr>
          <w:bCs/>
          <w:i/>
          <w:iCs/>
        </w:rPr>
        <w:t>At the moment everyone's got a different concept, every provider and every partnership across Wales has a different idea of how to market what they</w:t>
      </w:r>
      <w:r w:rsidR="00BE69D8">
        <w:rPr>
          <w:bCs/>
          <w:i/>
          <w:iCs/>
        </w:rPr>
        <w:t xml:space="preserve"> </w:t>
      </w:r>
      <w:r>
        <w:rPr>
          <w:bCs/>
          <w:i/>
          <w:iCs/>
        </w:rPr>
        <w:t xml:space="preserve">do, </w:t>
      </w:r>
      <w:r w:rsidRPr="00AE0D9E">
        <w:rPr>
          <w:bCs/>
          <w:i/>
          <w:iCs/>
        </w:rPr>
        <w:t>even the same courses are called multiple things across Wales. You know we need to decide on what it is we are, what it is we can offer and otherwise the public can't understand what it is we're offering</w:t>
      </w:r>
      <w:r w:rsidR="00B172E8">
        <w:rPr>
          <w:bCs/>
          <w:i/>
          <w:iCs/>
        </w:rPr>
        <w:t>,</w:t>
      </w:r>
      <w:r w:rsidRPr="00AE0D9E">
        <w:rPr>
          <w:bCs/>
          <w:i/>
          <w:iCs/>
        </w:rPr>
        <w:t xml:space="preserve"> if we can't.</w:t>
      </w:r>
    </w:p>
    <w:p w14:paraId="70242E78" w14:textId="5AB1FF9E" w:rsidR="00E002EC" w:rsidRDefault="00BE69D8" w:rsidP="00E002EC">
      <w:pPr>
        <w:pStyle w:val="LWBody"/>
        <w:rPr>
          <w:bCs/>
        </w:rPr>
      </w:pPr>
      <w:r>
        <w:rPr>
          <w:bCs/>
        </w:rPr>
        <w:t>Participants</w:t>
      </w:r>
      <w:r w:rsidR="00E002EC">
        <w:rPr>
          <w:bCs/>
        </w:rPr>
        <w:t xml:space="preserve"> felt strongly that this is an area where there is a real need for national action, to raise the profile of the sector nationally and build a shared understanding of its relevance to people’s lives. Fundamentally, they stated that too few people know what adult learning is, and this makes it extremely difficult to promote.</w:t>
      </w:r>
    </w:p>
    <w:p w14:paraId="37179E3E" w14:textId="77777777" w:rsidR="00E002EC" w:rsidRPr="007D0FD5" w:rsidRDefault="00E002EC" w:rsidP="00E002EC">
      <w:pPr>
        <w:pStyle w:val="LWBody"/>
        <w:ind w:left="567"/>
        <w:rPr>
          <w:bCs/>
          <w:i/>
          <w:iCs/>
        </w:rPr>
      </w:pPr>
      <w:r w:rsidRPr="007D0FD5">
        <w:rPr>
          <w:bCs/>
          <w:i/>
          <w:iCs/>
        </w:rPr>
        <w:lastRenderedPageBreak/>
        <w:t>One of the things that we need to talk about is a single marketing campaign. What we don't want people to see is the community provision marketing and then college provision marketing, and then think there's two separate things.  Let's market things together as one. So the learner is getting one experience through the whole journey.  Something that people can see, no matter where they travel in Wales, that is what adult learning can do for you.</w:t>
      </w:r>
    </w:p>
    <w:p w14:paraId="201E72B0" w14:textId="06B81B0E" w:rsidR="00E002EC" w:rsidRPr="00C11207" w:rsidRDefault="00E002EC" w:rsidP="00E002EC">
      <w:pPr>
        <w:pStyle w:val="LWBody"/>
        <w:rPr>
          <w:bCs/>
        </w:rPr>
      </w:pPr>
      <w:r>
        <w:rPr>
          <w:bCs/>
        </w:rPr>
        <w:t xml:space="preserve">Although some participants reported that they are already looking at strengthening the adult learning “brand” locally, they acknowledged that this may present challenges if it is seen as being too conspicuously led and owned by one partner. </w:t>
      </w:r>
    </w:p>
    <w:p w14:paraId="4B228C53" w14:textId="121B65C1" w:rsidR="00E002EC" w:rsidRPr="00C11207" w:rsidRDefault="00E002EC" w:rsidP="00E002EC">
      <w:pPr>
        <w:pStyle w:val="LWBody"/>
        <w:rPr>
          <w:bCs/>
        </w:rPr>
      </w:pPr>
      <w:r>
        <w:rPr>
          <w:bCs/>
        </w:rPr>
        <w:t xml:space="preserve">It is also worth noting that some Partnerships report continued significant difficulties with attracting learners back onto their courses. A small number of participants stated frankly that they are struggling in this area, despite “trying everything”. They pointed to the </w:t>
      </w:r>
      <w:r w:rsidR="00BE69D8">
        <w:rPr>
          <w:bCs/>
        </w:rPr>
        <w:t>cost-of-living</w:t>
      </w:r>
      <w:r>
        <w:rPr>
          <w:bCs/>
        </w:rPr>
        <w:t xml:space="preserve"> crisis as an additional barrier, in the wake of the pandemic, that is preventing adults from prioritising learning as they need to take on extra work or struggle with mental health difficulties.   </w:t>
      </w:r>
    </w:p>
    <w:p w14:paraId="076E2373" w14:textId="77777777" w:rsidR="00E002EC" w:rsidRPr="008C31D7" w:rsidRDefault="00E002EC" w:rsidP="00E002EC">
      <w:pPr>
        <w:pStyle w:val="LWTitle2"/>
      </w:pPr>
      <w:bookmarkStart w:id="35" w:name="_Toc133414347"/>
      <w:bookmarkStart w:id="36" w:name="_Toc133569856"/>
      <w:r w:rsidRPr="008C31D7">
        <w:t xml:space="preserve">Quality </w:t>
      </w:r>
      <w:r>
        <w:t>and workforce development</w:t>
      </w:r>
      <w:bookmarkEnd w:id="35"/>
      <w:bookmarkEnd w:id="36"/>
    </w:p>
    <w:p w14:paraId="27529758" w14:textId="77777777" w:rsidR="00E002EC" w:rsidRDefault="00E002EC" w:rsidP="00E002EC">
      <w:pPr>
        <w:pStyle w:val="LWBody"/>
      </w:pPr>
      <w:r>
        <w:t xml:space="preserve">Participants were asked about the extent to which Partnerships provide a framework for collaboration on internal aspects of delivery linked to quality assurance, quality improvement and workforce planning and development.   </w:t>
      </w:r>
    </w:p>
    <w:p w14:paraId="2684D706" w14:textId="77777777" w:rsidR="00E002EC" w:rsidRDefault="00E002EC" w:rsidP="00E002EC">
      <w:pPr>
        <w:pStyle w:val="LWTitle3"/>
        <w:rPr>
          <w:lang w:val="en-GB"/>
        </w:rPr>
      </w:pPr>
      <w:bookmarkStart w:id="37" w:name="_Toc133414348"/>
      <w:bookmarkStart w:id="38" w:name="_Toc133569857"/>
      <w:r w:rsidRPr="008C31D7">
        <w:rPr>
          <w:lang w:val="en-GB"/>
        </w:rPr>
        <w:t>Current approaches</w:t>
      </w:r>
      <w:bookmarkEnd w:id="37"/>
      <w:bookmarkEnd w:id="38"/>
    </w:p>
    <w:p w14:paraId="5139C2AB" w14:textId="1B35782E" w:rsidR="00E002EC" w:rsidRDefault="00E002EC" w:rsidP="00E002EC">
      <w:pPr>
        <w:pStyle w:val="LWBody"/>
        <w:rPr>
          <w:bCs/>
        </w:rPr>
      </w:pPr>
      <w:r>
        <w:rPr>
          <w:bCs/>
        </w:rPr>
        <w:t xml:space="preserve">Across all Partnerships, each </w:t>
      </w:r>
      <w:r w:rsidRPr="00C11207">
        <w:rPr>
          <w:bCs/>
        </w:rPr>
        <w:t xml:space="preserve">partner </w:t>
      </w:r>
      <w:r>
        <w:rPr>
          <w:bCs/>
        </w:rPr>
        <w:t xml:space="preserve">is responsible for its own </w:t>
      </w:r>
      <w:r w:rsidR="00BE69D8" w:rsidRPr="00C11207">
        <w:rPr>
          <w:bCs/>
        </w:rPr>
        <w:t>quality</w:t>
      </w:r>
      <w:r w:rsidRPr="00C11207">
        <w:rPr>
          <w:bCs/>
        </w:rPr>
        <w:t xml:space="preserve"> </w:t>
      </w:r>
      <w:r>
        <w:rPr>
          <w:bCs/>
        </w:rPr>
        <w:t xml:space="preserve">systems and </w:t>
      </w:r>
      <w:r w:rsidRPr="00C11207">
        <w:rPr>
          <w:bCs/>
        </w:rPr>
        <w:t xml:space="preserve">processes. </w:t>
      </w:r>
      <w:r>
        <w:rPr>
          <w:bCs/>
        </w:rPr>
        <w:t>However, our discussions suggest that this is also a key area of collaboration, with only one participant stating that no Partnership-wide activity takes place on quality.  Partnership structures generally include a group with oversight of the quality of provision across the piece. Joint activities include:</w:t>
      </w:r>
    </w:p>
    <w:p w14:paraId="2FEDEA85" w14:textId="77777777" w:rsidR="00E002EC" w:rsidRDefault="00E002EC">
      <w:pPr>
        <w:pStyle w:val="LWBody"/>
        <w:numPr>
          <w:ilvl w:val="0"/>
          <w:numId w:val="16"/>
        </w:numPr>
        <w:rPr>
          <w:bCs/>
        </w:rPr>
      </w:pPr>
      <w:r>
        <w:rPr>
          <w:bCs/>
        </w:rPr>
        <w:t>Cross-partner classroom observations and standardisation.</w:t>
      </w:r>
    </w:p>
    <w:p w14:paraId="554AC655" w14:textId="77777777" w:rsidR="00E002EC" w:rsidRDefault="00E002EC">
      <w:pPr>
        <w:pStyle w:val="LWBody"/>
        <w:numPr>
          <w:ilvl w:val="0"/>
          <w:numId w:val="16"/>
        </w:numPr>
        <w:rPr>
          <w:bCs/>
        </w:rPr>
      </w:pPr>
      <w:r>
        <w:rPr>
          <w:bCs/>
        </w:rPr>
        <w:t>Shared scrutiny of learner feedback and outcomes data.</w:t>
      </w:r>
    </w:p>
    <w:p w14:paraId="30A798CD" w14:textId="77777777" w:rsidR="00E002EC" w:rsidRDefault="00E002EC">
      <w:pPr>
        <w:pStyle w:val="LWBody"/>
        <w:numPr>
          <w:ilvl w:val="0"/>
          <w:numId w:val="16"/>
        </w:numPr>
        <w:rPr>
          <w:bCs/>
        </w:rPr>
      </w:pPr>
      <w:r>
        <w:rPr>
          <w:bCs/>
        </w:rPr>
        <w:t>Production of a Partnership-wide self-assessment report (SAR).</w:t>
      </w:r>
    </w:p>
    <w:p w14:paraId="289DB5DC" w14:textId="77777777" w:rsidR="00E002EC" w:rsidRDefault="00E002EC">
      <w:pPr>
        <w:pStyle w:val="LWBody"/>
        <w:numPr>
          <w:ilvl w:val="0"/>
          <w:numId w:val="16"/>
        </w:numPr>
        <w:rPr>
          <w:bCs/>
        </w:rPr>
      </w:pPr>
      <w:r>
        <w:rPr>
          <w:bCs/>
        </w:rPr>
        <w:t>Development of shared documentation such as ILPs.</w:t>
      </w:r>
    </w:p>
    <w:p w14:paraId="4556740A" w14:textId="77777777" w:rsidR="00E002EC" w:rsidRDefault="00E002EC">
      <w:pPr>
        <w:pStyle w:val="LWBody"/>
        <w:numPr>
          <w:ilvl w:val="0"/>
          <w:numId w:val="16"/>
        </w:numPr>
        <w:rPr>
          <w:bCs/>
        </w:rPr>
      </w:pPr>
      <w:r>
        <w:rPr>
          <w:bCs/>
        </w:rPr>
        <w:t>Sharing effective practice.</w:t>
      </w:r>
    </w:p>
    <w:p w14:paraId="20AE898A" w14:textId="77777777" w:rsidR="00E002EC" w:rsidRDefault="00E002EC">
      <w:pPr>
        <w:pStyle w:val="LWBody"/>
        <w:numPr>
          <w:ilvl w:val="0"/>
          <w:numId w:val="16"/>
        </w:numPr>
        <w:rPr>
          <w:bCs/>
        </w:rPr>
      </w:pPr>
      <w:r>
        <w:rPr>
          <w:bCs/>
        </w:rPr>
        <w:t>Joint workforce CPD.</w:t>
      </w:r>
    </w:p>
    <w:p w14:paraId="62DF27CE" w14:textId="77777777" w:rsidR="00E002EC" w:rsidRDefault="00E002EC" w:rsidP="00E002EC">
      <w:pPr>
        <w:pStyle w:val="LWBody"/>
        <w:rPr>
          <w:bCs/>
        </w:rPr>
      </w:pPr>
      <w:r>
        <w:rPr>
          <w:bCs/>
        </w:rPr>
        <w:t xml:space="preserve">Participants from Partnerships that are in formative stages of re-establishing their activity post-pandemic indicated that they are working towards bringing greater consistency to quality procedures between partners.  </w:t>
      </w:r>
    </w:p>
    <w:p w14:paraId="2606FE47" w14:textId="2FE59CF1" w:rsidR="00E002EC" w:rsidRDefault="00E002EC" w:rsidP="00E002EC">
      <w:pPr>
        <w:pStyle w:val="LWBody"/>
        <w:rPr>
          <w:bCs/>
        </w:rPr>
      </w:pPr>
      <w:r>
        <w:rPr>
          <w:bCs/>
        </w:rPr>
        <w:lastRenderedPageBreak/>
        <w:t>Workforce development is an area where participants consistently reported that cross-partner collaboration takes place, with Partnership-wide CPD activity informed by the findings of quality processes being common. Approaches include the following:</w:t>
      </w:r>
    </w:p>
    <w:p w14:paraId="7555A79B" w14:textId="77777777" w:rsidR="00E002EC" w:rsidRDefault="00E002EC">
      <w:pPr>
        <w:pStyle w:val="LWBody"/>
        <w:numPr>
          <w:ilvl w:val="0"/>
          <w:numId w:val="17"/>
        </w:numPr>
        <w:rPr>
          <w:bCs/>
        </w:rPr>
      </w:pPr>
      <w:r>
        <w:rPr>
          <w:bCs/>
        </w:rPr>
        <w:t>Regular development sessions on specific topics hosted by one of the partners.</w:t>
      </w:r>
    </w:p>
    <w:p w14:paraId="720BDFE3" w14:textId="77777777" w:rsidR="00E002EC" w:rsidRDefault="00E002EC">
      <w:pPr>
        <w:pStyle w:val="LWBody"/>
        <w:numPr>
          <w:ilvl w:val="0"/>
          <w:numId w:val="17"/>
        </w:numPr>
        <w:rPr>
          <w:bCs/>
        </w:rPr>
      </w:pPr>
      <w:r>
        <w:rPr>
          <w:bCs/>
        </w:rPr>
        <w:t>Annual whole-day CPD events for tutors, managers and frontline staff.</w:t>
      </w:r>
    </w:p>
    <w:p w14:paraId="4C990DF6" w14:textId="77777777" w:rsidR="00E002EC" w:rsidRDefault="00E002EC">
      <w:pPr>
        <w:pStyle w:val="LWBody"/>
        <w:numPr>
          <w:ilvl w:val="0"/>
          <w:numId w:val="17"/>
        </w:numPr>
        <w:rPr>
          <w:bCs/>
        </w:rPr>
      </w:pPr>
      <w:r>
        <w:rPr>
          <w:bCs/>
        </w:rPr>
        <w:t>The use of Google Classroom to support delivery of CPD, accessible by all tutors.</w:t>
      </w:r>
    </w:p>
    <w:p w14:paraId="26B97202" w14:textId="07E4D8B6" w:rsidR="00E002EC" w:rsidRDefault="00E002EC" w:rsidP="00E002EC">
      <w:pPr>
        <w:pStyle w:val="LWBody"/>
        <w:rPr>
          <w:bCs/>
        </w:rPr>
      </w:pPr>
      <w:r>
        <w:rPr>
          <w:bCs/>
        </w:rPr>
        <w:t>We also heard about CPD which takes place across Partnerships. The “Six Counties Group” of Ceredigion, Powys, Neath Port Talbot,</w:t>
      </w:r>
      <w:r w:rsidR="00BE69D8">
        <w:rPr>
          <w:bCs/>
        </w:rPr>
        <w:t xml:space="preserve"> </w:t>
      </w:r>
      <w:r>
        <w:rPr>
          <w:bCs/>
        </w:rPr>
        <w:t xml:space="preserve">Carmarthen, </w:t>
      </w:r>
      <w:r w:rsidR="00AC3C38">
        <w:rPr>
          <w:bCs/>
        </w:rPr>
        <w:t>Swansea,</w:t>
      </w:r>
      <w:r>
        <w:rPr>
          <w:bCs/>
        </w:rPr>
        <w:t xml:space="preserve"> and Pembrokeshire has pooled CPD funding from Welsh Government to put on a programme of training that is available across the group.    </w:t>
      </w:r>
    </w:p>
    <w:p w14:paraId="33576FD3" w14:textId="77777777" w:rsidR="00E002EC" w:rsidRPr="00167A08" w:rsidRDefault="00E002EC" w:rsidP="00E002EC">
      <w:pPr>
        <w:pStyle w:val="LWTitle3"/>
      </w:pPr>
      <w:bookmarkStart w:id="39" w:name="_Toc133414349"/>
      <w:bookmarkStart w:id="40" w:name="_Toc133569858"/>
      <w:r w:rsidRPr="008C31D7">
        <w:t>Opportunities and strengths</w:t>
      </w:r>
      <w:bookmarkEnd w:id="39"/>
      <w:bookmarkEnd w:id="40"/>
    </w:p>
    <w:p w14:paraId="3C69B4DD" w14:textId="37F9F1B5" w:rsidR="00E002EC" w:rsidRDefault="00E002EC" w:rsidP="00E002EC">
      <w:pPr>
        <w:pStyle w:val="LWBody"/>
        <w:rPr>
          <w:bCs/>
        </w:rPr>
      </w:pPr>
      <w:r>
        <w:rPr>
          <w:bCs/>
        </w:rPr>
        <w:t>A common theme to emerge from the discussions was the key role that college partners play in providing access to quality and CPD infrastructure and support within many Partnerships. For example:</w:t>
      </w:r>
    </w:p>
    <w:p w14:paraId="3E4C5981" w14:textId="77777777" w:rsidR="00E002EC" w:rsidRDefault="00E002EC">
      <w:pPr>
        <w:pStyle w:val="LWBody"/>
        <w:numPr>
          <w:ilvl w:val="0"/>
          <w:numId w:val="18"/>
        </w:numPr>
        <w:rPr>
          <w:bCs/>
        </w:rPr>
      </w:pPr>
      <w:r>
        <w:rPr>
          <w:bCs/>
        </w:rPr>
        <w:t>Data to underpin quality improvement is produced by the college data team.</w:t>
      </w:r>
    </w:p>
    <w:p w14:paraId="12126DD4" w14:textId="77777777" w:rsidR="00E002EC" w:rsidRDefault="00E002EC">
      <w:pPr>
        <w:pStyle w:val="LWBody"/>
        <w:numPr>
          <w:ilvl w:val="0"/>
          <w:numId w:val="18"/>
        </w:numPr>
        <w:rPr>
          <w:bCs/>
        </w:rPr>
      </w:pPr>
      <w:r>
        <w:rPr>
          <w:bCs/>
        </w:rPr>
        <w:t>The college leads on producing the SAR.</w:t>
      </w:r>
    </w:p>
    <w:p w14:paraId="680C07D3" w14:textId="703FF709" w:rsidR="00E002EC" w:rsidRDefault="00E002EC">
      <w:pPr>
        <w:pStyle w:val="LWBody"/>
        <w:numPr>
          <w:ilvl w:val="0"/>
          <w:numId w:val="18"/>
        </w:numPr>
        <w:rPr>
          <w:bCs/>
        </w:rPr>
      </w:pPr>
      <w:r>
        <w:rPr>
          <w:bCs/>
        </w:rPr>
        <w:t xml:space="preserve">The college opens up access to its staff CPD programme to partners, and hosts CPD events. This enables staff from partner organisations to access support with development needs such as digital upskilling, and to maintain the currency of knowledge and skills in priority areas.   </w:t>
      </w:r>
    </w:p>
    <w:p w14:paraId="30951121" w14:textId="6C679037" w:rsidR="00E002EC" w:rsidRDefault="00E002EC" w:rsidP="00E002EC">
      <w:pPr>
        <w:pStyle w:val="LWBody"/>
        <w:ind w:left="720"/>
        <w:rPr>
          <w:bCs/>
          <w:i/>
          <w:iCs/>
        </w:rPr>
      </w:pPr>
      <w:r>
        <w:rPr>
          <w:bCs/>
          <w:i/>
          <w:iCs/>
        </w:rPr>
        <w:t>We put on refresher safeguarding training last year for members of our entire Partnership, because there were some members that hadn’t had an annual refresher. That’s normal practice for us.</w:t>
      </w:r>
    </w:p>
    <w:p w14:paraId="61BEF2E8" w14:textId="403C5140" w:rsidR="00E002EC" w:rsidRPr="00CB59ED" w:rsidRDefault="00E002EC">
      <w:pPr>
        <w:pStyle w:val="LWBody"/>
        <w:numPr>
          <w:ilvl w:val="0"/>
          <w:numId w:val="18"/>
        </w:numPr>
        <w:rPr>
          <w:bCs/>
        </w:rPr>
      </w:pPr>
      <w:r>
        <w:rPr>
          <w:bCs/>
        </w:rPr>
        <w:t>College staff support partners to develop and implement more robust quality systems. One Partnership has established a Standards and Performance Management Group through which the college head of adult learning is supporting core partners to review performance and put in place action plans to promote improvement with a focus on outcomes and success rates. This process was described as “scrutiny in a supportive way.”</w:t>
      </w:r>
    </w:p>
    <w:p w14:paraId="757998E7" w14:textId="77777777" w:rsidR="00E002EC" w:rsidRDefault="00E002EC" w:rsidP="00E002EC">
      <w:pPr>
        <w:pStyle w:val="LWTitle3"/>
        <w:rPr>
          <w:lang w:val="en-GB"/>
        </w:rPr>
      </w:pPr>
      <w:bookmarkStart w:id="41" w:name="_Toc133414350"/>
      <w:bookmarkStart w:id="42" w:name="_Toc133569859"/>
      <w:r w:rsidRPr="008C31D7">
        <w:rPr>
          <w:lang w:val="en-GB"/>
        </w:rPr>
        <w:t>Issues and challenges</w:t>
      </w:r>
      <w:bookmarkEnd w:id="41"/>
      <w:bookmarkEnd w:id="42"/>
    </w:p>
    <w:p w14:paraId="54EBC1F7" w14:textId="22B1CF49" w:rsidR="00E002EC" w:rsidRDefault="00E002EC" w:rsidP="00E002EC">
      <w:pPr>
        <w:pStyle w:val="LWBody"/>
        <w:rPr>
          <w:bCs/>
        </w:rPr>
      </w:pPr>
      <w:r>
        <w:rPr>
          <w:bCs/>
        </w:rPr>
        <w:t xml:space="preserve">The issues relating to data sharing and the quality of data that some participants reported have already been discussed above. Several participants from colleges stressed that they are not questioning the quality of the provision that is delivered by </w:t>
      </w:r>
      <w:r w:rsidR="00A47AAD">
        <w:rPr>
          <w:bCs/>
        </w:rPr>
        <w:t>partners but</w:t>
      </w:r>
      <w:r>
        <w:rPr>
          <w:bCs/>
        </w:rPr>
        <w:t xml:space="preserve"> do have concerns about the robustness of their systems and processes that they have in place for assuring quality.  </w:t>
      </w:r>
    </w:p>
    <w:p w14:paraId="737CF7DF" w14:textId="77777777" w:rsidR="00E002EC" w:rsidRDefault="00E002EC" w:rsidP="00E002EC">
      <w:pPr>
        <w:pStyle w:val="LWBody"/>
        <w:rPr>
          <w:bCs/>
        </w:rPr>
      </w:pPr>
      <w:r>
        <w:rPr>
          <w:bCs/>
        </w:rPr>
        <w:lastRenderedPageBreak/>
        <w:t xml:space="preserve">It was also noted that there are probably limits to the extent to which integrated quality systems could be achieved across a Partnership, because wider partners such as universities already have their own well-developed arrangements in place and are unlikely to be willing to move away from these.  </w:t>
      </w:r>
    </w:p>
    <w:p w14:paraId="1C3E095F" w14:textId="062A01DE" w:rsidR="00E002EC" w:rsidRDefault="00E002EC" w:rsidP="00E002EC">
      <w:pPr>
        <w:pStyle w:val="LWBody"/>
        <w:rPr>
          <w:bCs/>
        </w:rPr>
      </w:pPr>
      <w:r>
        <w:rPr>
          <w:bCs/>
        </w:rPr>
        <w:t xml:space="preserve">On the broader issue of how the quality of adult learning delivery is monitored, participants in the webinar highlighted the role of Estyn. They noted that adult learning feels disproportionately heavily inspected compared with other funding streams. Not only are Adult Learning Partnerships inspected in their own right, but adult learning on college premises falls in scope for college inspections, while Adult Learning Wales and Welsh for Adults are separately inspected. It was suggested that the sector could be viewed as over-inspected, and it </w:t>
      </w:r>
      <w:r w:rsidR="009109F3">
        <w:rPr>
          <w:bCs/>
        </w:rPr>
        <w:t>would be</w:t>
      </w:r>
      <w:r>
        <w:rPr>
          <w:bCs/>
        </w:rPr>
        <w:t xml:space="preserve"> helpful to review the current arrangements.   </w:t>
      </w:r>
    </w:p>
    <w:p w14:paraId="12FA2F98" w14:textId="6D8EE566" w:rsidR="00E002EC" w:rsidRDefault="00E002EC" w:rsidP="00E002EC">
      <w:pPr>
        <w:pStyle w:val="LWBody"/>
        <w:rPr>
          <w:bCs/>
        </w:rPr>
      </w:pPr>
      <w:r>
        <w:rPr>
          <w:bCs/>
        </w:rPr>
        <w:t xml:space="preserve">Participants across the Partnerships noted that they do not currently collaborate on workforce planning or the sharing of tutors, although this was felt to be an area where </w:t>
      </w:r>
      <w:r w:rsidR="009109F3">
        <w:rPr>
          <w:bCs/>
        </w:rPr>
        <w:t>their</w:t>
      </w:r>
      <w:r>
        <w:rPr>
          <w:bCs/>
        </w:rPr>
        <w:t xml:space="preserve"> potential for fruitful joint activity to be developed in future. For example, one participant said that it would be helpful to view the Partnership’s workforce as a shared resource and source of capacity on which all partners could draw. However, barriers to this kind of collaboration were noted, related to the differentials of qualifications, pay and wider terms and conditions between teaching staff in different types of organisations. Local authority participants stated that they are particularly disadvantaged by the pay levels that they can offer.  </w:t>
      </w:r>
    </w:p>
    <w:p w14:paraId="2300A8E5" w14:textId="6B57923E" w:rsidR="00E002EC" w:rsidRPr="00D81B04" w:rsidRDefault="00E002EC" w:rsidP="00E002EC">
      <w:pPr>
        <w:pStyle w:val="LWBody"/>
        <w:ind w:left="567"/>
        <w:rPr>
          <w:bCs/>
          <w:i/>
          <w:iCs/>
          <w:lang w:val="en-US"/>
        </w:rPr>
      </w:pPr>
      <w:r w:rsidRPr="00D81B04">
        <w:rPr>
          <w:bCs/>
          <w:i/>
          <w:iCs/>
          <w:lang w:val="en-US"/>
        </w:rPr>
        <w:t xml:space="preserve">We're about to advertise for some staff now and I've seen what it works out </w:t>
      </w:r>
      <w:r>
        <w:rPr>
          <w:bCs/>
          <w:i/>
          <w:iCs/>
          <w:lang w:val="en-US"/>
        </w:rPr>
        <w:t xml:space="preserve">at </w:t>
      </w:r>
      <w:r w:rsidRPr="00D81B04">
        <w:rPr>
          <w:bCs/>
          <w:i/>
          <w:iCs/>
          <w:lang w:val="en-US"/>
        </w:rPr>
        <w:t xml:space="preserve">per hour.  And then you look what the college is advertising per hour. Adult Learning Wales is advertising and the </w:t>
      </w:r>
      <w:r w:rsidR="00B50EC8" w:rsidRPr="00D81B04">
        <w:rPr>
          <w:bCs/>
          <w:i/>
          <w:iCs/>
          <w:lang w:val="en-US"/>
        </w:rPr>
        <w:t>university,</w:t>
      </w:r>
      <w:r w:rsidRPr="00D81B04">
        <w:rPr>
          <w:bCs/>
          <w:i/>
          <w:iCs/>
          <w:lang w:val="en-US"/>
        </w:rPr>
        <w:t xml:space="preserve"> and I can't compete. I can't compete because we're</w:t>
      </w:r>
      <w:r>
        <w:rPr>
          <w:bCs/>
          <w:i/>
          <w:iCs/>
          <w:lang w:val="en-US"/>
        </w:rPr>
        <w:t xml:space="preserve"> a</w:t>
      </w:r>
      <w:r w:rsidRPr="00D81B04">
        <w:rPr>
          <w:bCs/>
          <w:i/>
          <w:iCs/>
          <w:lang w:val="en-US"/>
        </w:rPr>
        <w:t xml:space="preserve"> local authority. We've been job evaluated. </w:t>
      </w:r>
      <w:r>
        <w:rPr>
          <w:bCs/>
          <w:i/>
          <w:iCs/>
          <w:lang w:val="en-US"/>
        </w:rPr>
        <w:t>T</w:t>
      </w:r>
      <w:r w:rsidRPr="00D81B04">
        <w:rPr>
          <w:bCs/>
          <w:i/>
          <w:iCs/>
          <w:lang w:val="en-US"/>
        </w:rPr>
        <w:t>hat's it. We can't move from that figure.</w:t>
      </w:r>
    </w:p>
    <w:p w14:paraId="6B5C2863" w14:textId="52184DFB" w:rsidR="00E002EC" w:rsidRDefault="00E002EC" w:rsidP="00E002EC">
      <w:pPr>
        <w:pStyle w:val="LWBody"/>
        <w:rPr>
          <w:bCs/>
          <w:lang w:val="en-US"/>
        </w:rPr>
      </w:pPr>
      <w:r>
        <w:rPr>
          <w:bCs/>
          <w:lang w:val="en-US"/>
        </w:rPr>
        <w:t xml:space="preserve">This was felt to be part of a larger issue, referred to by both college and local authority participants, that there is no formal, </w:t>
      </w:r>
      <w:r w:rsidR="00752292">
        <w:rPr>
          <w:bCs/>
          <w:lang w:val="en-US"/>
        </w:rPr>
        <w:t>recongised</w:t>
      </w:r>
      <w:r w:rsidR="00752292">
        <w:rPr>
          <w:bCs/>
          <w:lang w:val="en-US"/>
        </w:rPr>
        <w:t xml:space="preserve"> </w:t>
      </w:r>
      <w:r>
        <w:rPr>
          <w:bCs/>
          <w:lang w:val="en-US"/>
        </w:rPr>
        <w:t xml:space="preserve">structure for initial teacher training and CPD for the adult learning workforce.  </w:t>
      </w:r>
    </w:p>
    <w:p w14:paraId="49865DF1" w14:textId="5BAE93F6" w:rsidR="00E002EC" w:rsidRPr="00D81B04" w:rsidRDefault="00E002EC" w:rsidP="00E002EC">
      <w:pPr>
        <w:pStyle w:val="LWBody"/>
        <w:ind w:left="567"/>
        <w:rPr>
          <w:bCs/>
          <w:i/>
          <w:iCs/>
          <w:lang w:val="en-US"/>
        </w:rPr>
      </w:pPr>
      <w:r w:rsidRPr="00D81B04">
        <w:rPr>
          <w:bCs/>
          <w:i/>
          <w:iCs/>
          <w:lang w:val="en-US"/>
        </w:rPr>
        <w:t>Where's the teaching program for adult learning or where's the tutor program for CPD</w:t>
      </w:r>
      <w:r>
        <w:rPr>
          <w:bCs/>
          <w:i/>
          <w:iCs/>
          <w:lang w:val="en-US"/>
        </w:rPr>
        <w:t xml:space="preserve"> fo</w:t>
      </w:r>
      <w:r w:rsidRPr="00D81B04">
        <w:rPr>
          <w:bCs/>
          <w:i/>
          <w:iCs/>
          <w:lang w:val="en-US"/>
        </w:rPr>
        <w:t>r adult learning</w:t>
      </w:r>
      <w:r>
        <w:rPr>
          <w:bCs/>
          <w:i/>
          <w:iCs/>
          <w:lang w:val="en-US"/>
        </w:rPr>
        <w:t>? T</w:t>
      </w:r>
      <w:r w:rsidRPr="00D81B04">
        <w:rPr>
          <w:bCs/>
          <w:i/>
          <w:iCs/>
          <w:lang w:val="en-US"/>
        </w:rPr>
        <w:t>here's a massive framework around school teachers, and there's probably a lot of structure around college tutors, but there's not a lot around</w:t>
      </w:r>
      <w:r>
        <w:rPr>
          <w:bCs/>
          <w:i/>
          <w:iCs/>
          <w:lang w:val="en-US"/>
        </w:rPr>
        <w:t xml:space="preserve"> </w:t>
      </w:r>
      <w:r w:rsidRPr="00D81B04">
        <w:rPr>
          <w:bCs/>
          <w:i/>
          <w:iCs/>
          <w:lang w:val="en-US"/>
        </w:rPr>
        <w:t>us.</w:t>
      </w:r>
    </w:p>
    <w:p w14:paraId="42CEC9AE" w14:textId="781ABB13" w:rsidR="00E002EC" w:rsidRPr="004D7581" w:rsidRDefault="00E002EC" w:rsidP="00E002EC">
      <w:pPr>
        <w:pStyle w:val="LWBody"/>
        <w:rPr>
          <w:bCs/>
          <w:lang w:val="en-US"/>
        </w:rPr>
      </w:pPr>
      <w:r>
        <w:rPr>
          <w:bCs/>
          <w:lang w:val="en-US"/>
        </w:rPr>
        <w:t xml:space="preserve">It was stated </w:t>
      </w:r>
      <w:r w:rsidR="00DE31AF">
        <w:rPr>
          <w:bCs/>
          <w:lang w:val="en-US"/>
        </w:rPr>
        <w:t xml:space="preserve">that </w:t>
      </w:r>
      <w:r>
        <w:rPr>
          <w:bCs/>
          <w:lang w:val="en-US"/>
        </w:rPr>
        <w:t>adult learning is largely neglected in the work that is currently taking place on p</w:t>
      </w:r>
      <w:r w:rsidRPr="004D7581">
        <w:rPr>
          <w:bCs/>
          <w:lang w:val="en-US"/>
        </w:rPr>
        <w:t xml:space="preserve">ost-16 </w:t>
      </w:r>
      <w:r>
        <w:rPr>
          <w:bCs/>
          <w:lang w:val="en-US"/>
        </w:rPr>
        <w:t xml:space="preserve">workforce development and the exclusion of the adult learning workforce from the Education Workforce Council (EWC) was felt to be symptomatic of this. Our conversations with Welsh Government confirm that work is underway to bring adult learning practitioners delivering Welsh Government funded provision into the scope of the EWC from 2024, with the aim of supporting professionalisation and promoting parity of esteem. Nevertheless, participants also stressed that prevailing employment practices do </w:t>
      </w:r>
      <w:r>
        <w:rPr>
          <w:bCs/>
          <w:lang w:val="en-US"/>
        </w:rPr>
        <w:lastRenderedPageBreak/>
        <w:t xml:space="preserve">not promote professional development: </w:t>
      </w:r>
      <w:r w:rsidRPr="004D7581">
        <w:rPr>
          <w:bCs/>
          <w:lang w:val="en-US"/>
        </w:rPr>
        <w:t xml:space="preserve">because tutors are </w:t>
      </w:r>
      <w:r>
        <w:rPr>
          <w:bCs/>
          <w:lang w:val="en-US"/>
        </w:rPr>
        <w:t xml:space="preserve">often </w:t>
      </w:r>
      <w:r w:rsidRPr="004D7581">
        <w:rPr>
          <w:bCs/>
          <w:lang w:val="en-US"/>
        </w:rPr>
        <w:t xml:space="preserve">sessional or </w:t>
      </w:r>
      <w:r w:rsidR="00BE69D8" w:rsidRPr="004D7581">
        <w:rPr>
          <w:bCs/>
          <w:lang w:val="en-US"/>
        </w:rPr>
        <w:t>self-employed</w:t>
      </w:r>
      <w:r>
        <w:rPr>
          <w:bCs/>
          <w:lang w:val="en-US"/>
        </w:rPr>
        <w:t>, i</w:t>
      </w:r>
      <w:r w:rsidRPr="004D7581">
        <w:rPr>
          <w:bCs/>
          <w:lang w:val="en-US"/>
        </w:rPr>
        <w:t xml:space="preserve">t can be difficult to engage them in CPD.  </w:t>
      </w:r>
    </w:p>
    <w:p w14:paraId="121BFDF7" w14:textId="77777777" w:rsidR="00E002EC" w:rsidRPr="004D7581" w:rsidRDefault="00E002EC" w:rsidP="00E002EC">
      <w:pPr>
        <w:pStyle w:val="LWBody"/>
      </w:pPr>
    </w:p>
    <w:p w14:paraId="56EAB9D5" w14:textId="77777777" w:rsidR="00E002EC" w:rsidRDefault="00E002EC" w:rsidP="00E002EC">
      <w:pPr>
        <w:rPr>
          <w:rFonts w:eastAsia="Arial" w:cs="Arial"/>
          <w:b/>
          <w:color w:val="EE7E3B"/>
          <w:sz w:val="40"/>
        </w:rPr>
      </w:pPr>
    </w:p>
    <w:p w14:paraId="2EEFEE18" w14:textId="4394003F" w:rsidR="00E002EC" w:rsidRPr="00C50D0F" w:rsidRDefault="00E002EC" w:rsidP="00E002EC">
      <w:pPr>
        <w:pStyle w:val="LWTitle1"/>
      </w:pPr>
      <w:bookmarkStart w:id="43" w:name="_Toc133569860"/>
      <w:r w:rsidRPr="00C50D0F">
        <w:t>Proposed areas for national action</w:t>
      </w:r>
      <w:bookmarkEnd w:id="43"/>
      <w:r w:rsidR="008C581E">
        <w:br/>
      </w:r>
    </w:p>
    <w:p w14:paraId="458DE9FB" w14:textId="08BF9E7E" w:rsidR="00E002EC" w:rsidRDefault="00E002EC" w:rsidP="00E002EC">
      <w:pPr>
        <w:pStyle w:val="LWBody"/>
      </w:pPr>
      <w:r>
        <w:t xml:space="preserve">In our conversations with Partnership representatives, we sought to identify any areas where they felt support and interventions at national level would help to strengthen local delivery of adult learning to engage learners and increase participation. There was a high degree of consensus among participants about the priorities for action, which can be summarised under the following three broad themes: develop the adult learning infrastructure; reform the funding of adult learning; ensure parity of esteem in the Commission for Tertiary Education and Research (CTER). </w:t>
      </w:r>
    </w:p>
    <w:p w14:paraId="70562529" w14:textId="77777777" w:rsidR="00E002EC" w:rsidRDefault="00E002EC" w:rsidP="00E002EC">
      <w:pPr>
        <w:pStyle w:val="LWTitle2"/>
      </w:pPr>
      <w:bookmarkStart w:id="44" w:name="_Toc133569861"/>
      <w:r>
        <w:t>Ensure parity of esteem on CTER</w:t>
      </w:r>
      <w:bookmarkEnd w:id="44"/>
    </w:p>
    <w:p w14:paraId="59F98840" w14:textId="0C87B193" w:rsidR="00DC478E" w:rsidRDefault="00E002EC" w:rsidP="00E002EC">
      <w:pPr>
        <w:pStyle w:val="LWBody"/>
        <w:rPr>
          <w:bCs/>
          <w:lang w:val="en-US"/>
        </w:rPr>
      </w:pPr>
      <w:r>
        <w:rPr>
          <w:bCs/>
          <w:lang w:val="en-US"/>
        </w:rPr>
        <w:t xml:space="preserve">The call for policy to promote parity of esteem for adult learning with other parts of the post-16 system ran through participants’ comments. The establishment of CTER as the national organising body for all post-compulsory education and training as identified as an opportunity to raise the status and profile of adult learning and promote parity of esteem, and it is anticipated that it would lead in taking forward the actions that we outline in the rest of this section. Participants stressed that they want to see this parity of esteem reflected in how CTER itself is organised, and that it needs to have some central capacity, in the form of dedicated resource, focused on adult learning and the work of the Partnerships.  </w:t>
      </w:r>
    </w:p>
    <w:p w14:paraId="54ECF064" w14:textId="77777777" w:rsidR="00DC478E" w:rsidRPr="0071614D" w:rsidRDefault="00DC478E" w:rsidP="00DC478E">
      <w:pPr>
        <w:pStyle w:val="LWBody"/>
        <w:rPr>
          <w:bCs/>
          <w:lang w:val="en-US"/>
        </w:rPr>
      </w:pPr>
      <w:r w:rsidRPr="008A3F33">
        <w:rPr>
          <w:rStyle w:val="cf01"/>
          <w:rFonts w:ascii="Arial" w:hAnsi="Arial" w:cs="Arial"/>
          <w:i w:val="0"/>
          <w:iCs w:val="0"/>
          <w:sz w:val="24"/>
          <w:szCs w:val="24"/>
        </w:rPr>
        <w:t>This is particularly pertinent as the new Commission puts into practice its duty to support lifelong learning and Welsh Government seeks to take forward secondary legislation relating to Section 94 of the Tertiary Education and Research (Wales) Act to secure proper facilities for further education and training for adults. Both of these statutory responsibilities provide a positive opportunity for CTER to work with the sector to improve its coherence and ultimately outcomes for learners.</w:t>
      </w:r>
      <w:r>
        <w:rPr>
          <w:bCs/>
          <w:lang w:val="en-US"/>
        </w:rPr>
        <w:t xml:space="preserve">    </w:t>
      </w:r>
    </w:p>
    <w:p w14:paraId="3029723F" w14:textId="77777777" w:rsidR="00E002EC" w:rsidRDefault="00E002EC" w:rsidP="00E002EC">
      <w:pPr>
        <w:pStyle w:val="LWTitle2"/>
      </w:pPr>
      <w:bookmarkStart w:id="45" w:name="_Toc133414351"/>
      <w:bookmarkStart w:id="46" w:name="_Toc133569862"/>
      <w:r>
        <w:t xml:space="preserve">Develop the adult learning </w:t>
      </w:r>
      <w:proofErr w:type="gramStart"/>
      <w:r>
        <w:t>infrastructure</w:t>
      </w:r>
      <w:bookmarkEnd w:id="45"/>
      <w:bookmarkEnd w:id="46"/>
      <w:proofErr w:type="gramEnd"/>
    </w:p>
    <w:p w14:paraId="4110B075" w14:textId="77777777" w:rsidR="00E002EC" w:rsidRDefault="00E002EC" w:rsidP="00E002EC">
      <w:pPr>
        <w:pStyle w:val="LWBody"/>
      </w:pPr>
      <w:r>
        <w:t>Participants proposed a range of ways in which the adult learning infrastructure should be developed through national actions, to support local delivery.</w:t>
      </w:r>
    </w:p>
    <w:p w14:paraId="384E3C9D" w14:textId="77777777" w:rsidR="00E002EC" w:rsidRDefault="00E002EC">
      <w:pPr>
        <w:pStyle w:val="LWBody"/>
        <w:numPr>
          <w:ilvl w:val="0"/>
          <w:numId w:val="19"/>
        </w:numPr>
        <w:ind w:left="426"/>
        <w:rPr>
          <w:b/>
          <w:bCs/>
          <w:i/>
          <w:iCs/>
        </w:rPr>
      </w:pPr>
      <w:r w:rsidRPr="004A547F">
        <w:rPr>
          <w:b/>
          <w:bCs/>
          <w:i/>
          <w:iCs/>
        </w:rPr>
        <w:t>Capacity building for Partnership’s coordinating role</w:t>
      </w:r>
    </w:p>
    <w:p w14:paraId="2C783126" w14:textId="2D6FED33" w:rsidR="00E002EC" w:rsidRDefault="00E002EC" w:rsidP="00E002EC">
      <w:pPr>
        <w:pStyle w:val="LWBody"/>
        <w:ind w:left="426"/>
        <w:rPr>
          <w:bCs/>
          <w:lang w:val="en-US"/>
        </w:rPr>
      </w:pPr>
      <w:r>
        <w:rPr>
          <w:bCs/>
          <w:lang w:val="en-US"/>
        </w:rPr>
        <w:t xml:space="preserve">There was general agreement that, for all Partnerships to fulfil their central role of coordinating local delivery of adult learning, support is needed to ensure greater </w:t>
      </w:r>
      <w:r>
        <w:rPr>
          <w:bCs/>
          <w:lang w:val="en-US"/>
        </w:rPr>
        <w:lastRenderedPageBreak/>
        <w:t>consistency and effectiveness across Wales. While participants stressed that they were not calling for a single, rigid, Partnership model, and they emphasised the need to maintain local flexibility and ‘flavour’, they would like to see a greater focus on promoting consistency and best practice. This could include a t</w:t>
      </w:r>
      <w:r w:rsidRPr="004A547F">
        <w:rPr>
          <w:bCs/>
          <w:lang w:val="en-US"/>
        </w:rPr>
        <w:t xml:space="preserve">oolkit </w:t>
      </w:r>
      <w:r>
        <w:rPr>
          <w:bCs/>
          <w:lang w:val="en-US"/>
        </w:rPr>
        <w:t xml:space="preserve">and guidance </w:t>
      </w:r>
      <w:r w:rsidRPr="004A547F">
        <w:rPr>
          <w:bCs/>
          <w:lang w:val="en-US"/>
        </w:rPr>
        <w:t xml:space="preserve">for </w:t>
      </w:r>
      <w:r>
        <w:rPr>
          <w:bCs/>
          <w:lang w:val="en-US"/>
        </w:rPr>
        <w:t>P</w:t>
      </w:r>
      <w:r w:rsidRPr="004A547F">
        <w:rPr>
          <w:bCs/>
          <w:lang w:val="en-US"/>
        </w:rPr>
        <w:t>artnerships</w:t>
      </w:r>
      <w:r>
        <w:rPr>
          <w:bCs/>
          <w:lang w:val="en-US"/>
        </w:rPr>
        <w:t xml:space="preserve">, including: </w:t>
      </w:r>
    </w:p>
    <w:p w14:paraId="1A0237AE" w14:textId="4CBEAD7D" w:rsidR="00E002EC" w:rsidRDefault="00E002EC">
      <w:pPr>
        <w:pStyle w:val="LWBody"/>
        <w:numPr>
          <w:ilvl w:val="0"/>
          <w:numId w:val="19"/>
        </w:numPr>
        <w:rPr>
          <w:bCs/>
          <w:lang w:val="en-US"/>
        </w:rPr>
      </w:pPr>
      <w:r>
        <w:rPr>
          <w:bCs/>
          <w:lang w:val="en-US"/>
        </w:rPr>
        <w:t>case studies and models of effective structures</w:t>
      </w:r>
      <w:r w:rsidR="00F37365">
        <w:rPr>
          <w:bCs/>
          <w:lang w:val="en-US"/>
        </w:rPr>
        <w:t>.</w:t>
      </w:r>
      <w:r>
        <w:rPr>
          <w:bCs/>
          <w:lang w:val="en-US"/>
        </w:rPr>
        <w:t xml:space="preserve"> </w:t>
      </w:r>
    </w:p>
    <w:p w14:paraId="621EBC84" w14:textId="77777777" w:rsidR="00E002EC" w:rsidRDefault="00E002EC">
      <w:pPr>
        <w:pStyle w:val="LWBody"/>
        <w:numPr>
          <w:ilvl w:val="0"/>
          <w:numId w:val="19"/>
        </w:numPr>
        <w:rPr>
          <w:bCs/>
          <w:lang w:val="en-US"/>
        </w:rPr>
      </w:pPr>
      <w:r>
        <w:rPr>
          <w:bCs/>
          <w:lang w:val="en-US"/>
        </w:rPr>
        <w:t>clearly articulated expectations around which organisations and key individuals will be involved and key features or principles that should be embodied in all Partnerships.</w:t>
      </w:r>
    </w:p>
    <w:p w14:paraId="5032F788" w14:textId="77777777" w:rsidR="00E002EC" w:rsidRDefault="00E002EC">
      <w:pPr>
        <w:pStyle w:val="LWBody"/>
        <w:numPr>
          <w:ilvl w:val="0"/>
          <w:numId w:val="19"/>
        </w:numPr>
        <w:rPr>
          <w:bCs/>
          <w:lang w:val="en-US"/>
        </w:rPr>
      </w:pPr>
      <w:r>
        <w:rPr>
          <w:bCs/>
          <w:lang w:val="en-US"/>
        </w:rPr>
        <w:t xml:space="preserve">jointly developed resources to support key areas of activity such as curriculum coordination. </w:t>
      </w:r>
    </w:p>
    <w:p w14:paraId="4E4F059B" w14:textId="7308FD0F" w:rsidR="00E002EC" w:rsidRPr="00F001C7" w:rsidRDefault="00E002EC" w:rsidP="00E002EC">
      <w:pPr>
        <w:pStyle w:val="LWBody"/>
        <w:ind w:left="426"/>
        <w:rPr>
          <w:bCs/>
          <w:lang w:val="en-US"/>
        </w:rPr>
      </w:pPr>
      <w:r>
        <w:rPr>
          <w:bCs/>
          <w:lang w:val="en-US"/>
        </w:rPr>
        <w:t xml:space="preserve">Several participants suggested that any development of the Partnership infrastructure should be based on the expectation that a college should play a pivotal role. It was argued that they cover all geographical areas and already have a huge infrastructure, particularly in the key areas of data and quality, which could be drawn on to support adult learning.  </w:t>
      </w:r>
    </w:p>
    <w:p w14:paraId="4896E60C" w14:textId="77777777" w:rsidR="00E002EC" w:rsidRPr="002E2D4B" w:rsidRDefault="00E002EC">
      <w:pPr>
        <w:pStyle w:val="LWBody"/>
        <w:numPr>
          <w:ilvl w:val="0"/>
          <w:numId w:val="12"/>
        </w:numPr>
        <w:ind w:left="426"/>
        <w:rPr>
          <w:bCs/>
        </w:rPr>
      </w:pPr>
      <w:r>
        <w:rPr>
          <w:b/>
          <w:bCs/>
          <w:i/>
          <w:iCs/>
        </w:rPr>
        <w:t xml:space="preserve">  Supporting a data-driven approach</w:t>
      </w:r>
    </w:p>
    <w:p w14:paraId="600432EC" w14:textId="13E832B9" w:rsidR="00E002EC" w:rsidRDefault="00E002EC" w:rsidP="00E002EC">
      <w:pPr>
        <w:pStyle w:val="LWBody"/>
        <w:ind w:left="426"/>
      </w:pPr>
      <w:r>
        <w:t>The challenges that some Partnerships face in accessing robust data presents a clear obstacle to effective planning and delivery. The following two areas in particular were highlighted as priorities for action.</w:t>
      </w:r>
    </w:p>
    <w:p w14:paraId="1C227C66" w14:textId="3B07C027" w:rsidR="00E002EC" w:rsidRDefault="00E002EC" w:rsidP="00E002EC">
      <w:pPr>
        <w:pStyle w:val="LWBody"/>
        <w:ind w:left="426"/>
      </w:pPr>
      <w:r>
        <w:t xml:space="preserve">First, Partnerships need high quality data on the learning and skills needs of both their local labour market and the communities that make up their potential learners.  Participants identified an important role that Regional Skills Partnerships could play in providing this data in a way that is tailored to the adult learning sector’s distinctive role and contribution to the development of entry and progression pathways. A nationally articulated expectation </w:t>
      </w:r>
      <w:r w:rsidR="00D443C4">
        <w:t xml:space="preserve">about </w:t>
      </w:r>
      <w:r>
        <w:t xml:space="preserve">the data that should be made available to Partnerships would promote greater consistency across Wales. </w:t>
      </w:r>
    </w:p>
    <w:p w14:paraId="218C366E" w14:textId="77777777" w:rsidR="00BC5FC1" w:rsidRDefault="00E002EC" w:rsidP="00E002EC">
      <w:pPr>
        <w:pStyle w:val="LWBody"/>
        <w:ind w:left="426"/>
      </w:pPr>
      <w:r>
        <w:t xml:space="preserve">Secondly, the establishment of effective systems and processes for sharing data between providers was identified as a critical need, to enable more robust tracking of progression across Partnerships.  </w:t>
      </w:r>
    </w:p>
    <w:p w14:paraId="720B27C6" w14:textId="0ABA7763" w:rsidR="00E002EC" w:rsidRPr="00F53D1F" w:rsidRDefault="00E002EC" w:rsidP="00E002EC">
      <w:pPr>
        <w:pStyle w:val="LWBody"/>
        <w:ind w:left="426"/>
        <w:rPr>
          <w:bCs/>
        </w:rPr>
      </w:pPr>
      <w:r>
        <w:t xml:space="preserve">Participants stated that they would like to see a national steer on what this should look like, to help overcome issues around GDPR and enable the adoption of effective systems and </w:t>
      </w:r>
      <w:r w:rsidR="00DC478E">
        <w:t>processes.</w:t>
      </w:r>
      <w:r w:rsidR="00DC478E" w:rsidRPr="00F53D1F">
        <w:rPr>
          <w:bCs/>
          <w:lang w:val="en-US"/>
        </w:rPr>
        <w:t xml:space="preserve"> There</w:t>
      </w:r>
      <w:r w:rsidRPr="00F53D1F">
        <w:rPr>
          <w:bCs/>
          <w:lang w:val="en-US"/>
        </w:rPr>
        <w:t xml:space="preserve"> were calls for the </w:t>
      </w:r>
      <w:r w:rsidR="000F467D" w:rsidRPr="00F53D1F">
        <w:rPr>
          <w:bCs/>
        </w:rPr>
        <w:t>development</w:t>
      </w:r>
      <w:r w:rsidRPr="00F53D1F">
        <w:rPr>
          <w:bCs/>
        </w:rPr>
        <w:t xml:space="preserve"> of a national system for understanding and capturing progression, as it is time consuming and costly to develop at local level. During the webinar, participants highlighted the Unique Learner Number system which has been </w:t>
      </w:r>
      <w:r w:rsidR="00DC478E" w:rsidRPr="00F53D1F">
        <w:rPr>
          <w:bCs/>
        </w:rPr>
        <w:t>developed but</w:t>
      </w:r>
      <w:r w:rsidRPr="00F53D1F">
        <w:rPr>
          <w:bCs/>
        </w:rPr>
        <w:t xml:space="preserve"> suggested that this is not working on the ground so needs to be reviewed. </w:t>
      </w:r>
    </w:p>
    <w:p w14:paraId="3101C527" w14:textId="405C2158" w:rsidR="00E002EC" w:rsidRPr="00AD5B1A" w:rsidRDefault="00E002EC" w:rsidP="00E002EC">
      <w:pPr>
        <w:pStyle w:val="LWBody"/>
        <w:ind w:left="426"/>
        <w:rPr>
          <w:bCs/>
        </w:rPr>
      </w:pPr>
      <w:r>
        <w:rPr>
          <w:bCs/>
        </w:rPr>
        <w:lastRenderedPageBreak/>
        <w:t>As part of any work to improve the collection and sharing of learner data, several participants also stated that it would be desirable to develop a clear and consistent view of what progression means in adult learning. This will involve</w:t>
      </w:r>
      <w:r w:rsidR="00DC478E">
        <w:rPr>
          <w:bCs/>
        </w:rPr>
        <w:t xml:space="preserve"> </w:t>
      </w:r>
      <w:r>
        <w:rPr>
          <w:bCs/>
        </w:rPr>
        <w:t>agreeing and articulating the breadth and types of outcomes that adult learning can bring for learners, covering areas such as health and wellbeing as well as skills and employment, as well as establishing coherent and meaningful approaches to capturing the impact of learning on health and wellbeing.</w:t>
      </w:r>
    </w:p>
    <w:p w14:paraId="2BF52423" w14:textId="77777777" w:rsidR="00E002EC" w:rsidRDefault="00E002EC">
      <w:pPr>
        <w:pStyle w:val="LWBody"/>
        <w:numPr>
          <w:ilvl w:val="0"/>
          <w:numId w:val="19"/>
        </w:numPr>
        <w:ind w:left="426"/>
        <w:rPr>
          <w:b/>
          <w:bCs/>
          <w:i/>
          <w:iCs/>
        </w:rPr>
      </w:pPr>
      <w:r>
        <w:rPr>
          <w:b/>
          <w:bCs/>
          <w:i/>
          <w:iCs/>
        </w:rPr>
        <w:t xml:space="preserve">A </w:t>
      </w:r>
      <w:r w:rsidRPr="004A547F">
        <w:rPr>
          <w:b/>
          <w:bCs/>
          <w:i/>
          <w:iCs/>
        </w:rPr>
        <w:t>national brand and marketing campaign for adult learning</w:t>
      </w:r>
    </w:p>
    <w:p w14:paraId="76782AAD" w14:textId="77777777" w:rsidR="00E002EC" w:rsidRDefault="00E002EC" w:rsidP="00E002EC">
      <w:pPr>
        <w:pStyle w:val="LWBody"/>
        <w:ind w:left="430"/>
        <w:rPr>
          <w:bCs/>
          <w:lang w:val="en-US"/>
        </w:rPr>
      </w:pPr>
      <w:r>
        <w:rPr>
          <w:bCs/>
          <w:lang w:val="en-US"/>
        </w:rPr>
        <w:t xml:space="preserve">The development of a </w:t>
      </w:r>
      <w:r w:rsidRPr="00F001C7">
        <w:rPr>
          <w:bCs/>
          <w:lang w:val="en-US"/>
        </w:rPr>
        <w:t>national</w:t>
      </w:r>
      <w:r>
        <w:rPr>
          <w:bCs/>
          <w:lang w:val="en-US"/>
        </w:rPr>
        <w:t>, unifying</w:t>
      </w:r>
      <w:r w:rsidRPr="00F001C7">
        <w:rPr>
          <w:bCs/>
          <w:lang w:val="en-US"/>
        </w:rPr>
        <w:t xml:space="preserve"> brand</w:t>
      </w:r>
      <w:r>
        <w:rPr>
          <w:bCs/>
          <w:lang w:val="en-US"/>
        </w:rPr>
        <w:t xml:space="preserve"> for adult learning</w:t>
      </w:r>
      <w:r w:rsidRPr="00F001C7">
        <w:rPr>
          <w:bCs/>
          <w:lang w:val="en-US"/>
        </w:rPr>
        <w:t>, but with local delivery to reflect local circumstances</w:t>
      </w:r>
      <w:r>
        <w:rPr>
          <w:bCs/>
          <w:lang w:val="en-US"/>
        </w:rPr>
        <w:t xml:space="preserve">, was consistently identified by participants as an important step towards raising the profile and visibility of the sector, addressing fragmentation and promoting progression. </w:t>
      </w:r>
    </w:p>
    <w:p w14:paraId="7B0A387D" w14:textId="1E0B666E" w:rsidR="00E002EC" w:rsidRDefault="00E002EC" w:rsidP="00E002EC">
      <w:pPr>
        <w:pStyle w:val="LWBody"/>
        <w:ind w:left="430"/>
        <w:rPr>
          <w:bCs/>
          <w:lang w:val="en-US"/>
        </w:rPr>
      </w:pPr>
      <w:r>
        <w:rPr>
          <w:bCs/>
          <w:lang w:val="en-US"/>
        </w:rPr>
        <w:t xml:space="preserve">Alongside this, there was widespread support for a coordinated national campaign to drive up engagement and participation. There was a strong feeling that this should be done centrally and led by Welsh Government, and mirror the kinds of campaigns to promote initiatives such as Welsh for Adults, Apprenticeships, and careers in teaching.  It was suggested that this should build on existing initiatives such as Adult Learners’ Week, to help generate and sustain momentum, raise awareness, and communicate more effectively the national ambitions for adult learning. One participant noted, the notion of ‘second chance’ learning has generally been well-received in the sector, but may have gained little traction beyond it.  </w:t>
      </w:r>
    </w:p>
    <w:p w14:paraId="5226072C" w14:textId="77777777" w:rsidR="00E002EC" w:rsidRDefault="00E002EC" w:rsidP="00E002EC">
      <w:pPr>
        <w:pStyle w:val="LWBody"/>
        <w:ind w:left="426"/>
        <w:rPr>
          <w:bCs/>
          <w:lang w:val="en-US"/>
        </w:rPr>
      </w:pPr>
      <w:r>
        <w:t xml:space="preserve">Several participants suggested that a national campaign should also include an employer engagement strand, to show employers what they can access locally and communicate the message that adult learning has a key role to play in addressing the staffing crisis that is affecting many employers in Wales.  </w:t>
      </w:r>
    </w:p>
    <w:p w14:paraId="17EE1541" w14:textId="77777777" w:rsidR="00E002EC" w:rsidRDefault="00E002EC">
      <w:pPr>
        <w:pStyle w:val="LWBody"/>
        <w:numPr>
          <w:ilvl w:val="0"/>
          <w:numId w:val="19"/>
        </w:numPr>
        <w:ind w:left="426"/>
        <w:rPr>
          <w:b/>
          <w:bCs/>
          <w:i/>
          <w:iCs/>
        </w:rPr>
      </w:pPr>
      <w:r w:rsidRPr="004A547F">
        <w:rPr>
          <w:b/>
          <w:bCs/>
          <w:i/>
          <w:iCs/>
        </w:rPr>
        <w:t>Raising the status and recognition of the adult learning workforc</w:t>
      </w:r>
      <w:r>
        <w:rPr>
          <w:b/>
          <w:bCs/>
          <w:i/>
          <w:iCs/>
        </w:rPr>
        <w:t>e</w:t>
      </w:r>
    </w:p>
    <w:p w14:paraId="23B2122A" w14:textId="218EB1BE" w:rsidR="00E002EC" w:rsidRDefault="00E002EC" w:rsidP="00E002EC">
      <w:pPr>
        <w:pStyle w:val="LWBody"/>
        <w:ind w:left="426"/>
        <w:rPr>
          <w:bCs/>
          <w:lang w:val="en-US"/>
        </w:rPr>
      </w:pPr>
      <w:r>
        <w:rPr>
          <w:bCs/>
          <w:lang w:val="en-US"/>
        </w:rPr>
        <w:t xml:space="preserve">It was stressed that an increase in </w:t>
      </w:r>
      <w:r w:rsidR="00BE69D8">
        <w:rPr>
          <w:bCs/>
          <w:lang w:val="en-US"/>
        </w:rPr>
        <w:t>participation</w:t>
      </w:r>
      <w:r>
        <w:rPr>
          <w:bCs/>
          <w:lang w:val="en-US"/>
        </w:rPr>
        <w:t xml:space="preserve"> in adult learning can only be achieved if the teaching workforce is also supported to grow. Several participants suggested that a recruitment campaign is needed to attract new tutors into the sector, as the lack of teaching staff is a barrier to expansion, </w:t>
      </w:r>
      <w:r w:rsidR="00BE69D8">
        <w:rPr>
          <w:bCs/>
          <w:lang w:val="en-US"/>
        </w:rPr>
        <w:t>particularly</w:t>
      </w:r>
      <w:r>
        <w:rPr>
          <w:bCs/>
          <w:lang w:val="en-US"/>
        </w:rPr>
        <w:t xml:space="preserve"> in some curriculum areas.  However, for this to be successful, more needs to be done to raise the status of the profession.  </w:t>
      </w:r>
    </w:p>
    <w:p w14:paraId="016FADE7" w14:textId="6718F069" w:rsidR="00E002EC" w:rsidRDefault="00E002EC" w:rsidP="00E002EC">
      <w:pPr>
        <w:pStyle w:val="LWBody"/>
        <w:ind w:left="426"/>
        <w:rPr>
          <w:bCs/>
          <w:lang w:val="en-US"/>
        </w:rPr>
      </w:pPr>
      <w:r w:rsidRPr="00C53DCA">
        <w:rPr>
          <w:bCs/>
          <w:lang w:val="en-US"/>
        </w:rPr>
        <w:t>Includ</w:t>
      </w:r>
      <w:r>
        <w:rPr>
          <w:bCs/>
          <w:lang w:val="en-US"/>
        </w:rPr>
        <w:t xml:space="preserve">ing the adult learning workforce in the remit of the </w:t>
      </w:r>
      <w:r w:rsidRPr="00C53DCA">
        <w:rPr>
          <w:bCs/>
          <w:lang w:val="en-US"/>
        </w:rPr>
        <w:t>Education Workforce Council</w:t>
      </w:r>
      <w:r>
        <w:rPr>
          <w:bCs/>
          <w:lang w:val="en-US"/>
        </w:rPr>
        <w:t xml:space="preserve"> was consistently identified as an important step towards this. Nevertheless, several local authority participants expressed concern that the notion of achieving parity of esteem with the rest of the post-16 workforce presents practical challenges because “we can only pay them a pittance.” In this context, it was suggested that more work is needed at national level towards formaliising the qualifications of adult learning tutors </w:t>
      </w:r>
      <w:r>
        <w:rPr>
          <w:bCs/>
          <w:lang w:val="en-US"/>
        </w:rPr>
        <w:lastRenderedPageBreak/>
        <w:t>and achieving pay parity for tutors across local authority and college provision, and CTER could support this.</w:t>
      </w:r>
    </w:p>
    <w:p w14:paraId="346F25D3" w14:textId="77777777" w:rsidR="00E002EC" w:rsidRDefault="00E002EC">
      <w:pPr>
        <w:pStyle w:val="LWBody"/>
        <w:numPr>
          <w:ilvl w:val="0"/>
          <w:numId w:val="19"/>
        </w:numPr>
        <w:ind w:left="426"/>
        <w:rPr>
          <w:b/>
          <w:bCs/>
          <w:i/>
          <w:iCs/>
        </w:rPr>
      </w:pPr>
      <w:r w:rsidRPr="004A547F">
        <w:rPr>
          <w:b/>
          <w:bCs/>
          <w:i/>
          <w:iCs/>
        </w:rPr>
        <w:t>Developing the adult learning strand of Hwb</w:t>
      </w:r>
    </w:p>
    <w:p w14:paraId="270ADE41" w14:textId="77777777" w:rsidR="00E002EC" w:rsidRDefault="00E002EC" w:rsidP="00E002EC">
      <w:pPr>
        <w:pStyle w:val="LWBody"/>
        <w:ind w:left="426"/>
        <w:rPr>
          <w:bCs/>
          <w:lang w:val="en-US"/>
        </w:rPr>
      </w:pPr>
      <w:r>
        <w:rPr>
          <w:bCs/>
          <w:lang w:val="en-US"/>
        </w:rPr>
        <w:t xml:space="preserve">Participants stated that they would like to see further </w:t>
      </w:r>
      <w:r w:rsidRPr="004A547F">
        <w:rPr>
          <w:bCs/>
          <w:lang w:val="en-US"/>
        </w:rPr>
        <w:t>development of Hwb to support adult learning</w:t>
      </w:r>
      <w:r>
        <w:rPr>
          <w:bCs/>
          <w:lang w:val="en-US"/>
        </w:rPr>
        <w:t>, for example with n</w:t>
      </w:r>
      <w:r w:rsidRPr="004A547F">
        <w:rPr>
          <w:bCs/>
          <w:lang w:val="en-US"/>
        </w:rPr>
        <w:t xml:space="preserve">ationally developed </w:t>
      </w:r>
      <w:r>
        <w:rPr>
          <w:bCs/>
          <w:lang w:val="en-US"/>
        </w:rPr>
        <w:t xml:space="preserve">teaching </w:t>
      </w:r>
      <w:r w:rsidRPr="004A547F">
        <w:rPr>
          <w:bCs/>
          <w:lang w:val="en-US"/>
        </w:rPr>
        <w:t xml:space="preserve">resources </w:t>
      </w:r>
      <w:r>
        <w:rPr>
          <w:bCs/>
          <w:lang w:val="en-US"/>
        </w:rPr>
        <w:t>for</w:t>
      </w:r>
      <w:r w:rsidRPr="004A547F">
        <w:rPr>
          <w:bCs/>
          <w:lang w:val="en-US"/>
        </w:rPr>
        <w:t xml:space="preserve"> literacy, numeracy and digital</w:t>
      </w:r>
      <w:r>
        <w:rPr>
          <w:bCs/>
          <w:lang w:val="en-US"/>
        </w:rPr>
        <w:t>,</w:t>
      </w:r>
      <w:r w:rsidRPr="004A547F">
        <w:rPr>
          <w:bCs/>
          <w:lang w:val="en-US"/>
        </w:rPr>
        <w:t xml:space="preserve"> including for </w:t>
      </w:r>
      <w:r>
        <w:rPr>
          <w:bCs/>
          <w:lang w:val="en-US"/>
        </w:rPr>
        <w:t xml:space="preserve">materials designed for the delivery of </w:t>
      </w:r>
      <w:r w:rsidRPr="004A547F">
        <w:rPr>
          <w:bCs/>
          <w:lang w:val="en-US"/>
        </w:rPr>
        <w:t xml:space="preserve">non-accredited provision.  </w:t>
      </w:r>
    </w:p>
    <w:p w14:paraId="66FD3758" w14:textId="77777777" w:rsidR="00E002EC" w:rsidRDefault="00E002EC">
      <w:pPr>
        <w:pStyle w:val="LWBody"/>
        <w:numPr>
          <w:ilvl w:val="0"/>
          <w:numId w:val="19"/>
        </w:numPr>
        <w:ind w:left="426"/>
        <w:rPr>
          <w:bCs/>
          <w:lang w:val="en-US"/>
        </w:rPr>
      </w:pPr>
      <w:r>
        <w:rPr>
          <w:b/>
          <w:i/>
          <w:iCs/>
          <w:lang w:val="en-US"/>
        </w:rPr>
        <w:t>Information, advice and guidance</w:t>
      </w:r>
    </w:p>
    <w:p w14:paraId="1B41175B" w14:textId="012BDA28" w:rsidR="00E002EC" w:rsidRDefault="00E002EC" w:rsidP="00E002EC">
      <w:pPr>
        <w:pStyle w:val="LWBody"/>
        <w:ind w:left="426"/>
        <w:rPr>
          <w:bCs/>
          <w:lang w:val="en-US"/>
        </w:rPr>
      </w:pPr>
      <w:r>
        <w:rPr>
          <w:bCs/>
          <w:lang w:val="en-US"/>
        </w:rPr>
        <w:t xml:space="preserve">It was recognised that ensuring learners have consistent access to effective and impartial information, </w:t>
      </w:r>
      <w:proofErr w:type="gramStart"/>
      <w:r>
        <w:rPr>
          <w:bCs/>
          <w:lang w:val="en-US"/>
        </w:rPr>
        <w:t>advice</w:t>
      </w:r>
      <w:proofErr w:type="gramEnd"/>
      <w:r>
        <w:rPr>
          <w:bCs/>
          <w:lang w:val="en-US"/>
        </w:rPr>
        <w:t xml:space="preserve"> and guidance (IAG) is essential for driving up participation in adult learning. A national promotion campaign will not be successful without the development and appropriate resourcing of advice and guidance provision, to which adults can be signposted via initial messaging and which can support them to make decisions on their next steps in learning</w:t>
      </w:r>
      <w:r w:rsidR="00BE69D8">
        <w:rPr>
          <w:bCs/>
          <w:lang w:val="en-US"/>
        </w:rPr>
        <w:t xml:space="preserve">. </w:t>
      </w:r>
      <w:r>
        <w:rPr>
          <w:bCs/>
          <w:lang w:val="en-US"/>
        </w:rPr>
        <w:t>One participant said:</w:t>
      </w:r>
    </w:p>
    <w:p w14:paraId="2B29BAE7" w14:textId="77777777" w:rsidR="00E002EC" w:rsidRDefault="00E002EC" w:rsidP="00E002EC">
      <w:pPr>
        <w:pStyle w:val="LWBody"/>
        <w:ind w:left="426"/>
        <w:rPr>
          <w:bCs/>
          <w:i/>
          <w:iCs/>
          <w:lang w:val="en-US"/>
        </w:rPr>
      </w:pPr>
      <w:r>
        <w:rPr>
          <w:bCs/>
          <w:i/>
          <w:iCs/>
          <w:lang w:val="en-US"/>
        </w:rPr>
        <w:t xml:space="preserve">The whole system won’t work unless IAG is in place.   </w:t>
      </w:r>
    </w:p>
    <w:p w14:paraId="7AF3F646" w14:textId="1A2ED19B" w:rsidR="00E002EC" w:rsidRPr="006724B7" w:rsidRDefault="00E002EC" w:rsidP="00E002EC">
      <w:pPr>
        <w:pStyle w:val="LWBody"/>
        <w:ind w:left="426"/>
        <w:rPr>
          <w:bCs/>
          <w:lang w:val="en-US"/>
        </w:rPr>
      </w:pPr>
      <w:r>
        <w:rPr>
          <w:bCs/>
          <w:lang w:val="en-US"/>
        </w:rPr>
        <w:t xml:space="preserve">Reviewing current arrangements to ensure equal access across Wales was noted as an important action for CTER.  </w:t>
      </w:r>
    </w:p>
    <w:p w14:paraId="7C3BCAC5" w14:textId="77777777" w:rsidR="00E002EC" w:rsidRDefault="00E002EC" w:rsidP="00E002EC">
      <w:pPr>
        <w:pStyle w:val="LWTitle2"/>
      </w:pPr>
      <w:bookmarkStart w:id="47" w:name="_Toc133414352"/>
      <w:bookmarkStart w:id="48" w:name="_Toc133569863"/>
      <w:r>
        <w:t>Reform funding for adult learning</w:t>
      </w:r>
      <w:bookmarkEnd w:id="47"/>
      <w:bookmarkEnd w:id="48"/>
    </w:p>
    <w:p w14:paraId="1CDEE4C6" w14:textId="77777777" w:rsidR="00E002EC" w:rsidRDefault="00E002EC" w:rsidP="00E002EC">
      <w:pPr>
        <w:pStyle w:val="LWBody"/>
        <w:rPr>
          <w:bCs/>
          <w:lang w:val="en-US"/>
        </w:rPr>
      </w:pPr>
      <w:r>
        <w:rPr>
          <w:bCs/>
          <w:lang w:val="en-US"/>
        </w:rPr>
        <w:t>Alongside the fundamental need for a higher level of funding overall to support growth in adult learning, participants identified the following specific areas for policy attention:</w:t>
      </w:r>
    </w:p>
    <w:p w14:paraId="2DFB477D" w14:textId="7F9AF294" w:rsidR="00E002EC" w:rsidRDefault="00E002EC">
      <w:pPr>
        <w:pStyle w:val="LWBody"/>
        <w:numPr>
          <w:ilvl w:val="0"/>
          <w:numId w:val="20"/>
        </w:numPr>
        <w:rPr>
          <w:bCs/>
          <w:lang w:val="en-US"/>
        </w:rPr>
      </w:pPr>
      <w:r>
        <w:rPr>
          <w:bCs/>
          <w:lang w:val="en-US"/>
        </w:rPr>
        <w:t xml:space="preserve">Annual funding was widely cited as a barrier to growth, and it was suggested that a three-year funding cycle would allow providers to plan and develop their offer with greater confidence and effectiveness. It would also help to smooth over </w:t>
      </w:r>
      <w:r w:rsidR="00BE69D8">
        <w:rPr>
          <w:bCs/>
          <w:lang w:val="en-US"/>
        </w:rPr>
        <w:t>the difficulties</w:t>
      </w:r>
      <w:r>
        <w:rPr>
          <w:bCs/>
          <w:lang w:val="en-US"/>
        </w:rPr>
        <w:t xml:space="preserve"> that arise in relation to planning by inconsistencies which mean that FE plans on academic years, while adult learning does so on financial years.  </w:t>
      </w:r>
    </w:p>
    <w:p w14:paraId="1BF24BCC" w14:textId="77777777" w:rsidR="00E002EC" w:rsidRDefault="00E002EC">
      <w:pPr>
        <w:pStyle w:val="LWBody"/>
        <w:numPr>
          <w:ilvl w:val="0"/>
          <w:numId w:val="20"/>
        </w:numPr>
        <w:rPr>
          <w:bCs/>
          <w:lang w:val="en-US"/>
        </w:rPr>
      </w:pPr>
      <w:r>
        <w:rPr>
          <w:bCs/>
          <w:lang w:val="en-US"/>
        </w:rPr>
        <w:t xml:space="preserve">To help achieve greater parity of funding with FE, Personal Learning Accounts should be </w:t>
      </w:r>
      <w:r w:rsidRPr="00F001C7">
        <w:rPr>
          <w:bCs/>
          <w:lang w:val="en-US"/>
        </w:rPr>
        <w:t xml:space="preserve">accessible to </w:t>
      </w:r>
      <w:r>
        <w:rPr>
          <w:bCs/>
          <w:lang w:val="en-US"/>
        </w:rPr>
        <w:t xml:space="preserve">local authorities as well as colleges. It was suggested that there is </w:t>
      </w:r>
      <w:r w:rsidRPr="00F001C7">
        <w:rPr>
          <w:bCs/>
          <w:lang w:val="en-US"/>
        </w:rPr>
        <w:t xml:space="preserve">demand </w:t>
      </w:r>
      <w:r>
        <w:rPr>
          <w:bCs/>
          <w:lang w:val="en-US"/>
        </w:rPr>
        <w:t xml:space="preserve">for some provision that would be fundable through PLAs that </w:t>
      </w:r>
      <w:r w:rsidRPr="00F001C7">
        <w:rPr>
          <w:bCs/>
          <w:lang w:val="en-US"/>
        </w:rPr>
        <w:t>is not being met because college</w:t>
      </w:r>
      <w:r>
        <w:rPr>
          <w:bCs/>
          <w:lang w:val="en-US"/>
        </w:rPr>
        <w:t>s</w:t>
      </w:r>
      <w:r w:rsidRPr="00F001C7">
        <w:rPr>
          <w:bCs/>
          <w:lang w:val="en-US"/>
        </w:rPr>
        <w:t xml:space="preserve"> </w:t>
      </w:r>
      <w:r>
        <w:rPr>
          <w:bCs/>
          <w:lang w:val="en-US"/>
        </w:rPr>
        <w:t>will not run courses for</w:t>
      </w:r>
      <w:r w:rsidRPr="00F001C7">
        <w:rPr>
          <w:bCs/>
          <w:lang w:val="en-US"/>
        </w:rPr>
        <w:t xml:space="preserve"> small</w:t>
      </w:r>
      <w:r>
        <w:rPr>
          <w:bCs/>
          <w:lang w:val="en-US"/>
        </w:rPr>
        <w:t>er</w:t>
      </w:r>
      <w:r w:rsidRPr="00F001C7">
        <w:rPr>
          <w:bCs/>
          <w:lang w:val="en-US"/>
        </w:rPr>
        <w:t xml:space="preserve"> numbers of learners, but </w:t>
      </w:r>
      <w:r>
        <w:rPr>
          <w:bCs/>
          <w:lang w:val="en-US"/>
        </w:rPr>
        <w:t xml:space="preserve">local authorities argued that they would </w:t>
      </w:r>
      <w:r w:rsidRPr="00F001C7">
        <w:rPr>
          <w:bCs/>
          <w:lang w:val="en-US"/>
        </w:rPr>
        <w:t xml:space="preserve">be able to attract people who will </w:t>
      </w:r>
      <w:r>
        <w:rPr>
          <w:bCs/>
          <w:lang w:val="en-US"/>
        </w:rPr>
        <w:t xml:space="preserve">not consider accessing </w:t>
      </w:r>
      <w:r w:rsidRPr="00F001C7">
        <w:rPr>
          <w:bCs/>
          <w:lang w:val="en-US"/>
        </w:rPr>
        <w:t>college</w:t>
      </w:r>
      <w:r>
        <w:rPr>
          <w:bCs/>
          <w:lang w:val="en-US"/>
        </w:rPr>
        <w:t xml:space="preserve"> provision.  </w:t>
      </w:r>
    </w:p>
    <w:p w14:paraId="39528C3B" w14:textId="3EA18BBF" w:rsidR="00E002EC" w:rsidRDefault="00E002EC">
      <w:pPr>
        <w:pStyle w:val="LWBody"/>
        <w:numPr>
          <w:ilvl w:val="0"/>
          <w:numId w:val="20"/>
        </w:numPr>
        <w:rPr>
          <w:bCs/>
          <w:lang w:val="en-US"/>
        </w:rPr>
      </w:pPr>
      <w:r w:rsidRPr="00F001C7">
        <w:rPr>
          <w:bCs/>
          <w:lang w:val="en-US"/>
        </w:rPr>
        <w:t>Sparsity funding</w:t>
      </w:r>
      <w:r>
        <w:rPr>
          <w:bCs/>
          <w:lang w:val="en-US"/>
        </w:rPr>
        <w:t xml:space="preserve"> should be available, </w:t>
      </w:r>
      <w:r w:rsidRPr="00F001C7">
        <w:rPr>
          <w:bCs/>
          <w:lang w:val="en-US"/>
        </w:rPr>
        <w:t xml:space="preserve">to recognise the challenges of delivering in rural </w:t>
      </w:r>
      <w:r>
        <w:rPr>
          <w:bCs/>
          <w:lang w:val="en-US"/>
        </w:rPr>
        <w:t>and other</w:t>
      </w:r>
      <w:r w:rsidRPr="00F001C7">
        <w:rPr>
          <w:bCs/>
          <w:lang w:val="en-US"/>
        </w:rPr>
        <w:t xml:space="preserve"> sparsely populated areas</w:t>
      </w:r>
      <w:r>
        <w:rPr>
          <w:bCs/>
          <w:lang w:val="en-US"/>
        </w:rPr>
        <w:t xml:space="preserve"> with poor transport links</w:t>
      </w:r>
      <w:r w:rsidRPr="00F001C7">
        <w:rPr>
          <w:bCs/>
          <w:lang w:val="en-US"/>
        </w:rPr>
        <w:t xml:space="preserve">. </w:t>
      </w:r>
      <w:r>
        <w:rPr>
          <w:bCs/>
          <w:lang w:val="en-US"/>
        </w:rPr>
        <w:t>It was stated that, w</w:t>
      </w:r>
      <w:r w:rsidRPr="00F001C7">
        <w:rPr>
          <w:bCs/>
          <w:lang w:val="en-US"/>
        </w:rPr>
        <w:t xml:space="preserve">ithout looking at the funding model, learners in these </w:t>
      </w:r>
      <w:r>
        <w:rPr>
          <w:bCs/>
          <w:lang w:val="en-US"/>
        </w:rPr>
        <w:t xml:space="preserve">localities </w:t>
      </w:r>
      <w:r w:rsidRPr="00F001C7">
        <w:rPr>
          <w:bCs/>
          <w:lang w:val="en-US"/>
        </w:rPr>
        <w:t>will be disadvantaged and not able to benefit from second chance and lifelong learning</w:t>
      </w:r>
      <w:r>
        <w:rPr>
          <w:bCs/>
          <w:lang w:val="en-US"/>
        </w:rPr>
        <w:t>, which</w:t>
      </w:r>
      <w:r w:rsidRPr="00F001C7">
        <w:rPr>
          <w:bCs/>
          <w:lang w:val="en-US"/>
        </w:rPr>
        <w:t xml:space="preserve"> "could be a barrier to equity across Wales."</w:t>
      </w:r>
    </w:p>
    <w:p w14:paraId="2EDA72F9" w14:textId="4D42ABB2" w:rsidR="00E002EC" w:rsidRDefault="00E002EC">
      <w:pPr>
        <w:pStyle w:val="LWBody"/>
        <w:numPr>
          <w:ilvl w:val="0"/>
          <w:numId w:val="20"/>
        </w:numPr>
        <w:rPr>
          <w:bCs/>
          <w:lang w:val="en-US"/>
        </w:rPr>
      </w:pPr>
      <w:r>
        <w:rPr>
          <w:bCs/>
          <w:lang w:val="en-US"/>
        </w:rPr>
        <w:lastRenderedPageBreak/>
        <w:t xml:space="preserve">Restoration of the </w:t>
      </w:r>
      <w:r w:rsidRPr="00F001C7">
        <w:rPr>
          <w:bCs/>
          <w:lang w:val="en-US"/>
        </w:rPr>
        <w:t xml:space="preserve">IT </w:t>
      </w:r>
      <w:r>
        <w:rPr>
          <w:bCs/>
          <w:lang w:val="en-US"/>
        </w:rPr>
        <w:t>M</w:t>
      </w:r>
      <w:r w:rsidRPr="00F001C7">
        <w:rPr>
          <w:bCs/>
          <w:lang w:val="en-US"/>
        </w:rPr>
        <w:t xml:space="preserve">aintenance </w:t>
      </w:r>
      <w:r>
        <w:rPr>
          <w:bCs/>
          <w:lang w:val="en-US"/>
        </w:rPr>
        <w:t>G</w:t>
      </w:r>
      <w:r w:rsidRPr="00F001C7">
        <w:rPr>
          <w:bCs/>
          <w:lang w:val="en-US"/>
        </w:rPr>
        <w:t xml:space="preserve">rant and Net Carbon Zero </w:t>
      </w:r>
      <w:r>
        <w:rPr>
          <w:bCs/>
          <w:lang w:val="en-US"/>
        </w:rPr>
        <w:t>G</w:t>
      </w:r>
      <w:r w:rsidRPr="00F001C7">
        <w:rPr>
          <w:bCs/>
          <w:lang w:val="en-US"/>
        </w:rPr>
        <w:t xml:space="preserve">rant </w:t>
      </w:r>
      <w:r>
        <w:rPr>
          <w:bCs/>
          <w:lang w:val="en-US"/>
        </w:rPr>
        <w:t xml:space="preserve">to local authority providers would be greatly welcomed, as </w:t>
      </w:r>
      <w:r w:rsidRPr="00F001C7">
        <w:rPr>
          <w:bCs/>
          <w:lang w:val="en-US"/>
        </w:rPr>
        <w:t>they enabled quality provision</w:t>
      </w:r>
      <w:r>
        <w:rPr>
          <w:bCs/>
          <w:lang w:val="en-US"/>
        </w:rPr>
        <w:t xml:space="preserve">, for example by ensuring </w:t>
      </w:r>
      <w:r w:rsidRPr="00F001C7">
        <w:rPr>
          <w:bCs/>
          <w:lang w:val="en-US"/>
        </w:rPr>
        <w:t xml:space="preserve">connectivity in community venues. </w:t>
      </w:r>
      <w:r>
        <w:rPr>
          <w:bCs/>
          <w:lang w:val="en-US"/>
        </w:rPr>
        <w:t xml:space="preserve">Participants noted that this funding is </w:t>
      </w:r>
      <w:r w:rsidRPr="00F001C7">
        <w:rPr>
          <w:bCs/>
          <w:lang w:val="en-US"/>
        </w:rPr>
        <w:t>still available to FE.</w:t>
      </w:r>
    </w:p>
    <w:p w14:paraId="3DDE3DDE" w14:textId="6AC78D49" w:rsidR="00E002EC" w:rsidRPr="00964049" w:rsidRDefault="00E002EC" w:rsidP="006B1951">
      <w:pPr>
        <w:pStyle w:val="LWBody"/>
        <w:numPr>
          <w:ilvl w:val="0"/>
          <w:numId w:val="20"/>
        </w:numPr>
        <w:spacing w:line="360" w:lineRule="auto"/>
        <w:ind w:left="714" w:hanging="357"/>
        <w:rPr>
          <w:i/>
        </w:rPr>
      </w:pPr>
      <w:r w:rsidRPr="00964049">
        <w:rPr>
          <w:bCs/>
          <w:lang w:val="en-US"/>
        </w:rPr>
        <w:t xml:space="preserve">Funding needs to be protected to support key parts of the local physical infrastructure for outreach and </w:t>
      </w:r>
      <w:r w:rsidR="00964049" w:rsidRPr="00964049">
        <w:rPr>
          <w:bCs/>
          <w:lang w:val="en-US"/>
        </w:rPr>
        <w:t>engagement</w:t>
      </w:r>
      <w:r w:rsidRPr="00964049">
        <w:rPr>
          <w:bCs/>
          <w:lang w:val="en-US"/>
        </w:rPr>
        <w:t xml:space="preserve"> that are at risk due to local authority cuts, such as public libraries. One participant described such settings as adult learning's “missile bases out in the community” and critical for connecting with and engaging prospective learners.  </w:t>
      </w:r>
    </w:p>
    <w:p w14:paraId="79436211" w14:textId="78D5A2FE" w:rsidR="00873F41" w:rsidRPr="00E002EC" w:rsidRDefault="00873F41" w:rsidP="00E002EC"/>
    <w:sectPr w:rsidR="00873F41" w:rsidRPr="00E002EC" w:rsidSect="004F34AD">
      <w:headerReference w:type="even" r:id="rId13"/>
      <w:headerReference w:type="default" r:id="rId14"/>
      <w:footerReference w:type="even" r:id="rId15"/>
      <w:footerReference w:type="default" r:id="rId16"/>
      <w:headerReference w:type="first" r:id="rId17"/>
      <w:footerReference w:type="first" r:id="rId18"/>
      <w:pgSz w:w="11906" w:h="16838"/>
      <w:pgMar w:top="1560" w:right="1134" w:bottom="1134" w:left="1134" w:header="709" w:footer="4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7F59C7" w14:textId="77777777" w:rsidR="008C429C" w:rsidRDefault="008C429C" w:rsidP="006C0E34">
      <w:pPr>
        <w:spacing w:after="0" w:line="240" w:lineRule="auto"/>
      </w:pPr>
      <w:r>
        <w:separator/>
      </w:r>
    </w:p>
  </w:endnote>
  <w:endnote w:type="continuationSeparator" w:id="0">
    <w:p w14:paraId="49EAE08A" w14:textId="77777777" w:rsidR="008C429C" w:rsidRDefault="008C429C" w:rsidP="006C0E34">
      <w:pPr>
        <w:spacing w:after="0" w:line="240" w:lineRule="auto"/>
      </w:pPr>
      <w:r>
        <w:continuationSeparator/>
      </w:r>
    </w:p>
  </w:endnote>
  <w:endnote w:type="continuationNotice" w:id="1">
    <w:p w14:paraId="03C08FC7" w14:textId="77777777" w:rsidR="00124921" w:rsidRDefault="001249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GGothicM">
    <w:altName w:val="HGｺﾞｼｯｸM"/>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4EDE1" w14:textId="77777777" w:rsidR="00567292" w:rsidRDefault="005672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667859"/>
      <w:docPartObj>
        <w:docPartGallery w:val="Page Numbers (Bottom of Page)"/>
        <w:docPartUnique/>
      </w:docPartObj>
    </w:sdtPr>
    <w:sdtContent>
      <w:p w14:paraId="07AA2C22" w14:textId="77777777" w:rsidR="00DD4FA0" w:rsidRDefault="00DD4FA0" w:rsidP="00FF730C">
        <w:pPr>
          <w:pStyle w:val="Footer"/>
          <w:jc w:val="right"/>
        </w:pPr>
      </w:p>
      <w:p w14:paraId="266BD398" w14:textId="77777777" w:rsidR="00DD4FA0" w:rsidRDefault="00DD4FA0" w:rsidP="003C5E2D">
        <w:pPr>
          <w:pStyle w:val="Footer"/>
          <w:jc w:val="right"/>
        </w:pPr>
      </w:p>
      <w:p w14:paraId="11A12D63" w14:textId="282D1B34" w:rsidR="00DD4FA0" w:rsidRDefault="00DD4FA0" w:rsidP="00FF730C">
        <w:pPr>
          <w:pStyle w:val="Footer"/>
        </w:pPr>
      </w:p>
      <w:p w14:paraId="6F56E729" w14:textId="77777777" w:rsidR="00DD4FA0" w:rsidRDefault="00A05DFB" w:rsidP="00FF730C">
        <w:pPr>
          <w:pStyle w:val="Footer"/>
          <w:jc w:val="right"/>
        </w:pPr>
        <w:r>
          <w:fldChar w:fldCharType="begin"/>
        </w:r>
        <w:r>
          <w:instrText xml:space="preserve"> PAGE   \* MERGEFORMAT </w:instrText>
        </w:r>
        <w:r>
          <w:fldChar w:fldCharType="separate"/>
        </w:r>
        <w:r w:rsidR="005C3FCC">
          <w:rPr>
            <w:noProof/>
          </w:rPr>
          <w:t>2</w:t>
        </w:r>
        <w:r>
          <w:rPr>
            <w:noProof/>
          </w:rPr>
          <w:fldChar w:fldCharType="end"/>
        </w:r>
      </w:p>
    </w:sdtContent>
  </w:sdt>
  <w:p w14:paraId="73EEF292" w14:textId="77777777" w:rsidR="00DD4FA0" w:rsidRDefault="00DD4FA0" w:rsidP="003C5E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FB4E9" w14:textId="3CC7A3F1" w:rsidR="006B25BD" w:rsidRDefault="006B25BD" w:rsidP="001B7D74">
    <w:pPr>
      <w:pStyle w:val="Footer"/>
      <w:rPr>
        <w:rFonts w:cs="Arial"/>
        <w:b/>
        <w:color w:val="EE7E3B"/>
        <w:sz w:val="16"/>
        <w:szCs w:val="16"/>
      </w:rPr>
    </w:pPr>
    <w:r>
      <w:rPr>
        <w:rFonts w:cs="Arial"/>
        <w:noProof/>
        <w:color w:val="404040" w:themeColor="text1" w:themeTint="BF"/>
        <w:sz w:val="15"/>
        <w:szCs w:val="15"/>
      </w:rPr>
      <w:drawing>
        <wp:anchor distT="0" distB="0" distL="114300" distR="114300" simplePos="0" relativeHeight="251658240" behindDoc="0" locked="0" layoutInCell="1" allowOverlap="1" wp14:anchorId="0A7437AC" wp14:editId="641774DB">
          <wp:simplePos x="0" y="0"/>
          <wp:positionH relativeFrom="column">
            <wp:posOffset>5785485</wp:posOffset>
          </wp:positionH>
          <wp:positionV relativeFrom="paragraph">
            <wp:posOffset>93980</wp:posOffset>
          </wp:positionV>
          <wp:extent cx="857250" cy="676910"/>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W_logo_employer_rgb.jpg"/>
                  <pic:cNvPicPr/>
                </pic:nvPicPr>
                <pic:blipFill>
                  <a:blip r:embed="rId1"/>
                  <a:stretch>
                    <a:fillRect/>
                  </a:stretch>
                </pic:blipFill>
                <pic:spPr>
                  <a:xfrm>
                    <a:off x="0" y="0"/>
                    <a:ext cx="857250" cy="676910"/>
                  </a:xfrm>
                  <a:prstGeom prst="rect">
                    <a:avLst/>
                  </a:prstGeom>
                </pic:spPr>
              </pic:pic>
            </a:graphicData>
          </a:graphic>
          <wp14:sizeRelH relativeFrom="margin">
            <wp14:pctWidth>0</wp14:pctWidth>
          </wp14:sizeRelH>
          <wp14:sizeRelV relativeFrom="margin">
            <wp14:pctHeight>0</wp14:pctHeight>
          </wp14:sizeRelV>
        </wp:anchor>
      </w:drawing>
    </w:r>
  </w:p>
  <w:p w14:paraId="22B58C87" w14:textId="44F32989" w:rsidR="00DD4FA0" w:rsidRPr="00356A43" w:rsidRDefault="0007449F" w:rsidP="001B7D74">
    <w:pPr>
      <w:pStyle w:val="Footer"/>
      <w:rPr>
        <w:rFonts w:cs="Arial"/>
        <w:b/>
        <w:color w:val="EE7E3B"/>
        <w:sz w:val="16"/>
        <w:szCs w:val="16"/>
      </w:rPr>
    </w:pPr>
    <w:r>
      <w:rPr>
        <w:rFonts w:cs="Arial"/>
        <w:noProof/>
        <w:color w:val="404040" w:themeColor="text1" w:themeTint="BF"/>
        <w:sz w:val="15"/>
        <w:szCs w:val="15"/>
      </w:rPr>
      <w:drawing>
        <wp:anchor distT="0" distB="0" distL="114300" distR="114300" simplePos="0" relativeHeight="251658241" behindDoc="0" locked="0" layoutInCell="1" allowOverlap="1" wp14:anchorId="122E24B8" wp14:editId="321D865F">
          <wp:simplePos x="0" y="0"/>
          <wp:positionH relativeFrom="column">
            <wp:posOffset>3585210</wp:posOffset>
          </wp:positionH>
          <wp:positionV relativeFrom="paragraph">
            <wp:posOffset>112395</wp:posOffset>
          </wp:positionV>
          <wp:extent cx="2593975" cy="42862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
                  <a:stretch>
                    <a:fillRect/>
                  </a:stretch>
                </pic:blipFill>
                <pic:spPr>
                  <a:xfrm>
                    <a:off x="0" y="0"/>
                    <a:ext cx="2593975" cy="428625"/>
                  </a:xfrm>
                  <a:prstGeom prst="rect">
                    <a:avLst/>
                  </a:prstGeom>
                </pic:spPr>
              </pic:pic>
            </a:graphicData>
          </a:graphic>
          <wp14:sizeRelH relativeFrom="page">
            <wp14:pctWidth>0</wp14:pctWidth>
          </wp14:sizeRelH>
          <wp14:sizeRelV relativeFrom="page">
            <wp14:pctHeight>0</wp14:pctHeight>
          </wp14:sizeRelV>
        </wp:anchor>
      </w:drawing>
    </w:r>
    <w:r w:rsidR="4EB30200" w:rsidRPr="693781B3">
      <w:rPr>
        <w:rFonts w:cs="Arial"/>
        <w:b/>
        <w:bCs/>
        <w:color w:val="EE7E3B"/>
        <w:sz w:val="16"/>
        <w:szCs w:val="16"/>
      </w:rPr>
      <w:t>Learning and Work Institute</w:t>
    </w:r>
  </w:p>
  <w:p w14:paraId="29DCEDF6" w14:textId="2AACDEFC" w:rsidR="00DD4FA0" w:rsidRPr="00356A43" w:rsidRDefault="00DD4FA0" w:rsidP="001B7D74">
    <w:pPr>
      <w:pStyle w:val="Footer"/>
      <w:rPr>
        <w:rFonts w:cs="Arial"/>
        <w:color w:val="404040" w:themeColor="text1" w:themeTint="BF"/>
        <w:sz w:val="15"/>
        <w:szCs w:val="15"/>
      </w:rPr>
    </w:pPr>
    <w:r w:rsidRPr="00356A43">
      <w:rPr>
        <w:rFonts w:cs="Arial"/>
        <w:color w:val="404040" w:themeColor="text1" w:themeTint="BF"/>
        <w:sz w:val="15"/>
        <w:szCs w:val="15"/>
      </w:rPr>
      <w:t xml:space="preserve">Patron: HRH The Princess Royal   |   Chief Executive: </w:t>
    </w:r>
    <w:r w:rsidR="002475AA">
      <w:rPr>
        <w:rFonts w:cs="Arial"/>
        <w:color w:val="404040" w:themeColor="text1" w:themeTint="BF"/>
        <w:sz w:val="15"/>
        <w:szCs w:val="15"/>
      </w:rPr>
      <w:t>Stephen Evans</w:t>
    </w:r>
  </w:p>
  <w:p w14:paraId="1BA1C4D2" w14:textId="4EF3641A" w:rsidR="00DD4FA0" w:rsidRPr="00356A43" w:rsidRDefault="00DD4FA0" w:rsidP="001B7D74">
    <w:pPr>
      <w:pStyle w:val="Footer"/>
      <w:rPr>
        <w:rFonts w:cs="Arial"/>
        <w:color w:val="404040" w:themeColor="text1" w:themeTint="BF"/>
        <w:sz w:val="15"/>
        <w:szCs w:val="15"/>
      </w:rPr>
    </w:pPr>
    <w:r w:rsidRPr="00356A43">
      <w:rPr>
        <w:rFonts w:cs="Arial"/>
        <w:color w:val="404040" w:themeColor="text1" w:themeTint="BF"/>
        <w:sz w:val="15"/>
        <w:szCs w:val="15"/>
      </w:rPr>
      <w:t>A company limited by guarantee, registered in England and Wales</w:t>
    </w:r>
  </w:p>
  <w:p w14:paraId="28086696" w14:textId="10EF134C" w:rsidR="00DD4FA0" w:rsidRPr="00356A43" w:rsidRDefault="00DD4FA0" w:rsidP="001B7D74">
    <w:pPr>
      <w:pStyle w:val="Footer"/>
      <w:rPr>
        <w:rFonts w:cs="Arial"/>
        <w:color w:val="404040" w:themeColor="text1" w:themeTint="BF"/>
        <w:sz w:val="15"/>
        <w:szCs w:val="15"/>
      </w:rPr>
    </w:pPr>
    <w:r w:rsidRPr="00356A43">
      <w:rPr>
        <w:rFonts w:cs="Arial"/>
        <w:color w:val="404040" w:themeColor="text1" w:themeTint="BF"/>
        <w:sz w:val="15"/>
        <w:szCs w:val="15"/>
      </w:rPr>
      <w:t>Registration No. 2603322   Registered Charity No. 1002775</w:t>
    </w:r>
  </w:p>
  <w:p w14:paraId="6554481B" w14:textId="7DAFC821" w:rsidR="00DD4FA0" w:rsidRPr="00356A43" w:rsidRDefault="00DD4FA0" w:rsidP="001B7D74">
    <w:pPr>
      <w:pStyle w:val="Footer"/>
      <w:rPr>
        <w:rFonts w:cs="Arial"/>
        <w:color w:val="404040" w:themeColor="text1" w:themeTint="BF"/>
        <w:sz w:val="15"/>
        <w:szCs w:val="15"/>
      </w:rPr>
    </w:pPr>
    <w:r w:rsidRPr="00356A43">
      <w:rPr>
        <w:rFonts w:cs="Arial"/>
        <w:color w:val="404040" w:themeColor="text1" w:themeTint="BF"/>
        <w:sz w:val="15"/>
        <w:szCs w:val="15"/>
      </w:rPr>
      <w:t xml:space="preserve">Registered office: </w:t>
    </w:r>
    <w:r w:rsidR="001B7831">
      <w:rPr>
        <w:rFonts w:cs="Arial"/>
        <w:color w:val="404040" w:themeColor="text1" w:themeTint="BF"/>
        <w:sz w:val="15"/>
        <w:szCs w:val="15"/>
      </w:rPr>
      <w:t>3</w:t>
    </w:r>
    <w:r w:rsidR="001B7831" w:rsidRPr="001B7831">
      <w:rPr>
        <w:rFonts w:cs="Arial"/>
        <w:color w:val="404040" w:themeColor="text1" w:themeTint="BF"/>
        <w:sz w:val="15"/>
        <w:szCs w:val="15"/>
        <w:vertAlign w:val="superscript"/>
      </w:rPr>
      <w:t>rd</w:t>
    </w:r>
    <w:r w:rsidR="001B7831">
      <w:rPr>
        <w:rFonts w:cs="Arial"/>
        <w:color w:val="404040" w:themeColor="text1" w:themeTint="BF"/>
        <w:sz w:val="15"/>
        <w:szCs w:val="15"/>
      </w:rPr>
      <w:t xml:space="preserve"> </w:t>
    </w:r>
    <w:r w:rsidR="006917A9" w:rsidRPr="006917A9">
      <w:rPr>
        <w:rFonts w:cs="Arial"/>
        <w:color w:val="404040" w:themeColor="text1" w:themeTint="BF"/>
        <w:sz w:val="15"/>
        <w:szCs w:val="15"/>
      </w:rPr>
      <w:t>Floor Arnhem House, 31 Waterloo Way, Leicester LE1 6LP</w:t>
    </w:r>
  </w:p>
  <w:p w14:paraId="6D5F15D0" w14:textId="77777777" w:rsidR="00DD4FA0" w:rsidRDefault="00DD4FA0" w:rsidP="001B7D74">
    <w:pPr>
      <w:pStyle w:val="Footer"/>
    </w:pPr>
  </w:p>
  <w:p w14:paraId="73D4BCE1" w14:textId="77777777" w:rsidR="00DD4FA0" w:rsidRPr="00306BF9" w:rsidRDefault="00DD4FA0" w:rsidP="00FC4498">
    <w:pPr>
      <w:pStyle w:val="NoSpacing"/>
      <w:jc w:val="center"/>
      <w:rPr>
        <w:rFonts w:cs="Arial"/>
        <w:i/>
        <w:color w:val="595959" w:themeColor="text1" w:themeTint="A6"/>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46769" w14:textId="77777777" w:rsidR="008C429C" w:rsidRDefault="008C429C" w:rsidP="006C0E34">
      <w:pPr>
        <w:spacing w:after="0" w:line="240" w:lineRule="auto"/>
      </w:pPr>
      <w:r>
        <w:separator/>
      </w:r>
    </w:p>
  </w:footnote>
  <w:footnote w:type="continuationSeparator" w:id="0">
    <w:p w14:paraId="0F6C2D97" w14:textId="77777777" w:rsidR="008C429C" w:rsidRDefault="008C429C" w:rsidP="006C0E34">
      <w:pPr>
        <w:spacing w:after="0" w:line="240" w:lineRule="auto"/>
      </w:pPr>
      <w:r>
        <w:continuationSeparator/>
      </w:r>
    </w:p>
  </w:footnote>
  <w:footnote w:type="continuationNotice" w:id="1">
    <w:p w14:paraId="454C9C7C" w14:textId="77777777" w:rsidR="00124921" w:rsidRDefault="00124921">
      <w:pPr>
        <w:spacing w:after="0" w:line="240" w:lineRule="auto"/>
      </w:pPr>
    </w:p>
  </w:footnote>
  <w:footnote w:id="2">
    <w:p w14:paraId="46D44C95" w14:textId="77777777" w:rsidR="00E002EC" w:rsidRPr="004D060E" w:rsidRDefault="00E002EC" w:rsidP="00E002EC">
      <w:pPr>
        <w:pStyle w:val="FootnoteText"/>
        <w:rPr>
          <w:i/>
          <w:iCs/>
        </w:rPr>
      </w:pPr>
      <w:r>
        <w:rPr>
          <w:rStyle w:val="FootnoteReference"/>
        </w:rPr>
        <w:footnoteRef/>
      </w:r>
      <w:hyperlink r:id="rId1" w:history="1">
        <w:r w:rsidRPr="004D060E">
          <w:rPr>
            <w:rStyle w:val="Hyperlink"/>
          </w:rPr>
          <w:t xml:space="preserve">Welsh Government (2021)  </w:t>
        </w:r>
        <w:r w:rsidRPr="004D060E">
          <w:rPr>
            <w:rStyle w:val="Hyperlink"/>
            <w:i/>
            <w:iCs/>
          </w:rPr>
          <w:t>Programme for Government Update</w:t>
        </w:r>
      </w:hyperlink>
    </w:p>
  </w:footnote>
  <w:footnote w:id="3">
    <w:p w14:paraId="598AD475" w14:textId="77777777" w:rsidR="00E002EC" w:rsidRPr="00EA485C" w:rsidRDefault="00E002EC" w:rsidP="00E002EC">
      <w:pPr>
        <w:pStyle w:val="FootnoteText"/>
        <w:rPr>
          <w:i/>
          <w:iCs/>
          <w:lang w:val="en-GB"/>
        </w:rPr>
      </w:pPr>
      <w:r>
        <w:rPr>
          <w:rStyle w:val="FootnoteReference"/>
        </w:rPr>
        <w:footnoteRef/>
      </w:r>
      <w:r>
        <w:t xml:space="preserve"> </w:t>
      </w:r>
      <w:hyperlink r:id="rId2" w:history="1">
        <w:r w:rsidRPr="00EA485C">
          <w:rPr>
            <w:rStyle w:val="Hyperlink"/>
            <w:lang w:val="en-GB"/>
          </w:rPr>
          <w:t xml:space="preserve">Estyn (2022) </w:t>
        </w:r>
        <w:r w:rsidRPr="00EA485C">
          <w:rPr>
            <w:rStyle w:val="Hyperlink"/>
            <w:i/>
            <w:iCs/>
            <w:lang w:val="en-GB"/>
          </w:rPr>
          <w:t>Sector Report: adult learning in the community, 2021-22.</w:t>
        </w:r>
      </w:hyperlink>
    </w:p>
  </w:footnote>
  <w:footnote w:id="4">
    <w:p w14:paraId="3E056EA9" w14:textId="77777777" w:rsidR="00E002EC" w:rsidRPr="00EA485C" w:rsidRDefault="00E002EC" w:rsidP="00E002EC">
      <w:pPr>
        <w:pStyle w:val="FootnoteText"/>
        <w:rPr>
          <w:i/>
          <w:iCs/>
          <w:lang w:val="en-GB"/>
        </w:rPr>
      </w:pPr>
      <w:r>
        <w:rPr>
          <w:rStyle w:val="FootnoteReference"/>
        </w:rPr>
        <w:footnoteRef/>
      </w:r>
      <w:r>
        <w:t xml:space="preserve"> </w:t>
      </w:r>
      <w:hyperlink r:id="rId3" w:history="1">
        <w:r w:rsidRPr="00EA485C">
          <w:rPr>
            <w:rStyle w:val="Hyperlink"/>
            <w:lang w:val="en-GB"/>
          </w:rPr>
          <w:t xml:space="preserve">Estyn (2022) </w:t>
        </w:r>
        <w:r w:rsidRPr="00EA485C">
          <w:rPr>
            <w:rStyle w:val="Hyperlink"/>
            <w:i/>
            <w:iCs/>
            <w:lang w:val="en-GB"/>
          </w:rPr>
          <w:t>Sector Report: adult learning in the community, 2021-22.</w:t>
        </w:r>
      </w:hyperlink>
    </w:p>
  </w:footnote>
  <w:footnote w:id="5">
    <w:p w14:paraId="71732148" w14:textId="77777777" w:rsidR="00E002EC" w:rsidRPr="00816DF5" w:rsidRDefault="00E002EC" w:rsidP="00E002EC">
      <w:pPr>
        <w:pStyle w:val="FootnoteText"/>
        <w:rPr>
          <w:lang w:val="en-GB"/>
        </w:rPr>
      </w:pPr>
      <w:r>
        <w:rPr>
          <w:rStyle w:val="FootnoteReference"/>
        </w:rPr>
        <w:footnoteRef/>
      </w:r>
      <w:r>
        <w:t xml:space="preserve"> Bridgend, Cardiff and Vale, </w:t>
      </w:r>
      <w:r>
        <w:rPr>
          <w:lang w:val="en-GB"/>
        </w:rPr>
        <w:t>Carmarthenshire, Ceredigion, Conwy and Denbighshire, Gwent (Five Counties), Gwynedd and Mon, Neath Port Talbot and Powys, North East Wales (Wrexham and Flintshire), Pembrokeshire, and Swansea.</w:t>
      </w:r>
    </w:p>
  </w:footnote>
  <w:footnote w:id="6">
    <w:p w14:paraId="68D0C9D4" w14:textId="77777777" w:rsidR="00E002EC" w:rsidRPr="00AF7440" w:rsidRDefault="00E002EC" w:rsidP="00E002EC">
      <w:pPr>
        <w:pStyle w:val="FootnoteText"/>
        <w:rPr>
          <w:lang w:val="en-GB"/>
        </w:rPr>
      </w:pPr>
      <w:r>
        <w:rPr>
          <w:rStyle w:val="FootnoteReference"/>
        </w:rPr>
        <w:footnoteRef/>
      </w:r>
      <w:r>
        <w:t xml:space="preserve"> </w:t>
      </w:r>
      <w:r>
        <w:rPr>
          <w:lang w:val="en-GB"/>
        </w:rPr>
        <w:t>Anything from W&amp;F Estyn case study?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47AC7" w14:textId="77777777" w:rsidR="00567292" w:rsidRDefault="005672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E3A42" w14:textId="77777777" w:rsidR="00567292" w:rsidRDefault="005672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82E30" w14:textId="77777777" w:rsidR="00567292" w:rsidRDefault="005672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6D37"/>
    <w:multiLevelType w:val="hybridMultilevel"/>
    <w:tmpl w:val="62FE34E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A31063"/>
    <w:multiLevelType w:val="hybridMultilevel"/>
    <w:tmpl w:val="B0787F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356C38"/>
    <w:multiLevelType w:val="hybridMultilevel"/>
    <w:tmpl w:val="DC84713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F3512"/>
    <w:multiLevelType w:val="hybridMultilevel"/>
    <w:tmpl w:val="5CB61F9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F73B85"/>
    <w:multiLevelType w:val="multilevel"/>
    <w:tmpl w:val="999C7BF0"/>
    <w:name w:val="items4"/>
    <w:lvl w:ilvl="0">
      <w:start w:val="1"/>
      <w:numFmt w:val="none"/>
      <w:lvlText w:val=""/>
      <w:lvlJc w:val="left"/>
      <w:pPr>
        <w:tabs>
          <w:tab w:val="num" w:pos="0"/>
        </w:tabs>
      </w:pPr>
      <w:rPr>
        <w:rFonts w:cs="Times New Roman"/>
      </w:rPr>
    </w:lvl>
    <w:lvl w:ilvl="1">
      <w:start w:val="1"/>
      <w:numFmt w:val="none"/>
      <w:lvlText w:val=""/>
      <w:lvlJc w:val="left"/>
      <w:pPr>
        <w:tabs>
          <w:tab w:val="num" w:pos="0"/>
        </w:tabs>
      </w:pPr>
      <w:rPr>
        <w:rFonts w:cs="Times New Roman"/>
        <w:b/>
      </w:rPr>
    </w:lvl>
    <w:lvl w:ilvl="2">
      <w:start w:val="1"/>
      <w:numFmt w:val="none"/>
      <w:lvlText w:val=""/>
      <w:lvlJc w:val="left"/>
      <w:pPr>
        <w:tabs>
          <w:tab w:val="num" w:pos="0"/>
        </w:tabs>
      </w:pPr>
      <w:rPr>
        <w:rFonts w:cs="Times New Roman"/>
        <w:b/>
      </w:rPr>
    </w:lvl>
    <w:lvl w:ilvl="3">
      <w:start w:val="1"/>
      <w:numFmt w:val="decimal"/>
      <w:lvlRestart w:val="0"/>
      <w:lvlText w:val="%4"/>
      <w:lvlJc w:val="left"/>
      <w:pPr>
        <w:tabs>
          <w:tab w:val="num" w:pos="567"/>
        </w:tabs>
        <w:ind w:left="567" w:hanging="567"/>
      </w:pPr>
      <w:rPr>
        <w:rFonts w:cs="Times New Roman"/>
      </w:rPr>
    </w:lvl>
    <w:lvl w:ilvl="4">
      <w:start w:val="1"/>
      <w:numFmt w:val="bullet"/>
      <w:lvlText w:val=""/>
      <w:lvlJc w:val="left"/>
      <w:pPr>
        <w:tabs>
          <w:tab w:val="num" w:pos="964"/>
        </w:tabs>
        <w:ind w:left="964" w:hanging="397"/>
      </w:pPr>
      <w:rPr>
        <w:rFonts w:ascii="Symbol" w:hAnsi="Symbol" w:hint="default"/>
        <w:b w:val="0"/>
      </w:rPr>
    </w:lvl>
    <w:lvl w:ilvl="5">
      <w:start w:val="1"/>
      <w:numFmt w:val="bullet"/>
      <w:lvlText w:val=""/>
      <w:lvlJc w:val="left"/>
      <w:pPr>
        <w:tabs>
          <w:tab w:val="num" w:pos="2160"/>
        </w:tabs>
        <w:ind w:left="2160" w:hanging="360"/>
      </w:pPr>
      <w:rPr>
        <w:rFonts w:ascii="Symbol" w:hAnsi="Symbol" w:hint="default"/>
        <w:color w:val="auto"/>
      </w:rPr>
    </w:lvl>
    <w:lvl w:ilvl="6">
      <w:start w:val="1"/>
      <w:numFmt w:val="decimal"/>
      <w:lvlText w:val=""/>
      <w:lvlJc w:val="left"/>
      <w:pPr>
        <w:tabs>
          <w:tab w:val="num" w:pos="2520"/>
        </w:tabs>
        <w:ind w:left="2520" w:hanging="360"/>
      </w:pPr>
      <w:rPr>
        <w:rFonts w:cs="Times New Roman"/>
      </w:rPr>
    </w:lvl>
    <w:lvl w:ilvl="7">
      <w:start w:val="1"/>
      <w:numFmt w:val="lowerLetter"/>
      <w:lvlText w:val=""/>
      <w:lvlJc w:val="left"/>
      <w:pPr>
        <w:tabs>
          <w:tab w:val="num" w:pos="2880"/>
        </w:tabs>
        <w:ind w:left="2880" w:hanging="360"/>
      </w:pPr>
      <w:rPr>
        <w:rFonts w:cs="Times New Roman"/>
      </w:rPr>
    </w:lvl>
    <w:lvl w:ilvl="8">
      <w:start w:val="1"/>
      <w:numFmt w:val="lowerRoman"/>
      <w:lvlText w:val=""/>
      <w:lvlJc w:val="left"/>
      <w:pPr>
        <w:tabs>
          <w:tab w:val="num" w:pos="3240"/>
        </w:tabs>
        <w:ind w:left="3240" w:hanging="360"/>
      </w:pPr>
      <w:rPr>
        <w:rFonts w:cs="Times New Roman"/>
      </w:rPr>
    </w:lvl>
  </w:abstractNum>
  <w:abstractNum w:abstractNumId="5" w15:restartNumberingAfterBreak="0">
    <w:nsid w:val="1F471E6F"/>
    <w:multiLevelType w:val="hybridMultilevel"/>
    <w:tmpl w:val="4D869CAE"/>
    <w:lvl w:ilvl="0" w:tplc="3A98454C">
      <w:start w:val="10"/>
      <w:numFmt w:val="decimal"/>
      <w:pStyle w:val="Style2"/>
      <w:lvlText w:val="%1."/>
      <w:lvlJc w:val="left"/>
      <w:pPr>
        <w:tabs>
          <w:tab w:val="num" w:pos="360"/>
        </w:tabs>
        <w:ind w:left="360" w:hanging="360"/>
      </w:pPr>
      <w:rPr>
        <w:rFonts w:cs="Times New Roman" w:hint="default"/>
        <w:i w:val="0"/>
        <w:color w:val="auto"/>
        <w:sz w:val="24"/>
        <w:szCs w:val="24"/>
      </w:rPr>
    </w:lvl>
    <w:lvl w:ilvl="1" w:tplc="0809000F">
      <w:start w:val="1"/>
      <w:numFmt w:val="decimal"/>
      <w:lvlText w:val="%2."/>
      <w:lvlJc w:val="left"/>
      <w:pPr>
        <w:tabs>
          <w:tab w:val="num" w:pos="1440"/>
        </w:tabs>
        <w:ind w:left="1440" w:hanging="360"/>
      </w:pPr>
      <w:rPr>
        <w:rFonts w:cs="Times New Roman" w:hint="default"/>
        <w:i w:val="0"/>
        <w:color w:val="auto"/>
        <w:sz w:val="24"/>
        <w:szCs w:val="24"/>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30A84CAD"/>
    <w:multiLevelType w:val="hybridMultilevel"/>
    <w:tmpl w:val="7688BFFC"/>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7684EB3"/>
    <w:multiLevelType w:val="hybridMultilevel"/>
    <w:tmpl w:val="B35AF50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927AE5"/>
    <w:multiLevelType w:val="hybridMultilevel"/>
    <w:tmpl w:val="B25603B4"/>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CAC42DD"/>
    <w:multiLevelType w:val="hybridMultilevel"/>
    <w:tmpl w:val="84508CE4"/>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88257E9"/>
    <w:multiLevelType w:val="hybridMultilevel"/>
    <w:tmpl w:val="42588BEE"/>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A8864D3"/>
    <w:multiLevelType w:val="hybridMultilevel"/>
    <w:tmpl w:val="9362C09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AD97711"/>
    <w:multiLevelType w:val="hybridMultilevel"/>
    <w:tmpl w:val="EBBE7D82"/>
    <w:lvl w:ilvl="0" w:tplc="08090005">
      <w:start w:val="1"/>
      <w:numFmt w:val="bullet"/>
      <w:lvlText w:val=""/>
      <w:lvlJc w:val="left"/>
      <w:pPr>
        <w:ind w:left="790" w:hanging="360"/>
      </w:pPr>
      <w:rPr>
        <w:rFonts w:ascii="Wingdings" w:hAnsi="Wingdings" w:hint="default"/>
      </w:rPr>
    </w:lvl>
    <w:lvl w:ilvl="1" w:tplc="FFFFFFFF" w:tentative="1">
      <w:start w:val="1"/>
      <w:numFmt w:val="bullet"/>
      <w:lvlText w:val="o"/>
      <w:lvlJc w:val="left"/>
      <w:pPr>
        <w:ind w:left="1510" w:hanging="360"/>
      </w:pPr>
      <w:rPr>
        <w:rFonts w:ascii="Courier New" w:hAnsi="Courier New" w:cs="Courier New" w:hint="default"/>
      </w:rPr>
    </w:lvl>
    <w:lvl w:ilvl="2" w:tplc="FFFFFFFF" w:tentative="1">
      <w:start w:val="1"/>
      <w:numFmt w:val="bullet"/>
      <w:lvlText w:val=""/>
      <w:lvlJc w:val="left"/>
      <w:pPr>
        <w:ind w:left="2230" w:hanging="360"/>
      </w:pPr>
      <w:rPr>
        <w:rFonts w:ascii="Wingdings" w:hAnsi="Wingdings" w:hint="default"/>
      </w:rPr>
    </w:lvl>
    <w:lvl w:ilvl="3" w:tplc="FFFFFFFF" w:tentative="1">
      <w:start w:val="1"/>
      <w:numFmt w:val="bullet"/>
      <w:lvlText w:val=""/>
      <w:lvlJc w:val="left"/>
      <w:pPr>
        <w:ind w:left="2950" w:hanging="360"/>
      </w:pPr>
      <w:rPr>
        <w:rFonts w:ascii="Symbol" w:hAnsi="Symbol" w:hint="default"/>
      </w:rPr>
    </w:lvl>
    <w:lvl w:ilvl="4" w:tplc="FFFFFFFF" w:tentative="1">
      <w:start w:val="1"/>
      <w:numFmt w:val="bullet"/>
      <w:lvlText w:val="o"/>
      <w:lvlJc w:val="left"/>
      <w:pPr>
        <w:ind w:left="3670" w:hanging="360"/>
      </w:pPr>
      <w:rPr>
        <w:rFonts w:ascii="Courier New" w:hAnsi="Courier New" w:cs="Courier New" w:hint="default"/>
      </w:rPr>
    </w:lvl>
    <w:lvl w:ilvl="5" w:tplc="FFFFFFFF" w:tentative="1">
      <w:start w:val="1"/>
      <w:numFmt w:val="bullet"/>
      <w:lvlText w:val=""/>
      <w:lvlJc w:val="left"/>
      <w:pPr>
        <w:ind w:left="4390" w:hanging="360"/>
      </w:pPr>
      <w:rPr>
        <w:rFonts w:ascii="Wingdings" w:hAnsi="Wingdings" w:hint="default"/>
      </w:rPr>
    </w:lvl>
    <w:lvl w:ilvl="6" w:tplc="FFFFFFFF" w:tentative="1">
      <w:start w:val="1"/>
      <w:numFmt w:val="bullet"/>
      <w:lvlText w:val=""/>
      <w:lvlJc w:val="left"/>
      <w:pPr>
        <w:ind w:left="5110" w:hanging="360"/>
      </w:pPr>
      <w:rPr>
        <w:rFonts w:ascii="Symbol" w:hAnsi="Symbol" w:hint="default"/>
      </w:rPr>
    </w:lvl>
    <w:lvl w:ilvl="7" w:tplc="FFFFFFFF" w:tentative="1">
      <w:start w:val="1"/>
      <w:numFmt w:val="bullet"/>
      <w:lvlText w:val="o"/>
      <w:lvlJc w:val="left"/>
      <w:pPr>
        <w:ind w:left="5830" w:hanging="360"/>
      </w:pPr>
      <w:rPr>
        <w:rFonts w:ascii="Courier New" w:hAnsi="Courier New" w:cs="Courier New" w:hint="default"/>
      </w:rPr>
    </w:lvl>
    <w:lvl w:ilvl="8" w:tplc="FFFFFFFF" w:tentative="1">
      <w:start w:val="1"/>
      <w:numFmt w:val="bullet"/>
      <w:lvlText w:val=""/>
      <w:lvlJc w:val="left"/>
      <w:pPr>
        <w:ind w:left="6550" w:hanging="360"/>
      </w:pPr>
      <w:rPr>
        <w:rFonts w:ascii="Wingdings" w:hAnsi="Wingdings" w:hint="default"/>
      </w:rPr>
    </w:lvl>
  </w:abstractNum>
  <w:abstractNum w:abstractNumId="13" w15:restartNumberingAfterBreak="0">
    <w:nsid w:val="5CDB7F58"/>
    <w:multiLevelType w:val="hybridMultilevel"/>
    <w:tmpl w:val="63B48486"/>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DF71919"/>
    <w:multiLevelType w:val="hybridMultilevel"/>
    <w:tmpl w:val="09CAEC0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C677E41"/>
    <w:multiLevelType w:val="hybridMultilevel"/>
    <w:tmpl w:val="9D54104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8D72BA"/>
    <w:multiLevelType w:val="hybridMultilevel"/>
    <w:tmpl w:val="253268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1C736A2"/>
    <w:multiLevelType w:val="hybridMultilevel"/>
    <w:tmpl w:val="BB1EEF66"/>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18" w15:restartNumberingAfterBreak="0">
    <w:nsid w:val="73B40BF8"/>
    <w:multiLevelType w:val="hybridMultilevel"/>
    <w:tmpl w:val="1BD03EF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F70485"/>
    <w:multiLevelType w:val="hybridMultilevel"/>
    <w:tmpl w:val="43CA1AF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74E4FA2"/>
    <w:multiLevelType w:val="hybridMultilevel"/>
    <w:tmpl w:val="920EA63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7722848">
    <w:abstractNumId w:val="5"/>
  </w:num>
  <w:num w:numId="2" w16cid:durableId="2095197047">
    <w:abstractNumId w:val="18"/>
  </w:num>
  <w:num w:numId="3" w16cid:durableId="480585069">
    <w:abstractNumId w:val="10"/>
  </w:num>
  <w:num w:numId="4" w16cid:durableId="1859389290">
    <w:abstractNumId w:val="13"/>
  </w:num>
  <w:num w:numId="5" w16cid:durableId="551885660">
    <w:abstractNumId w:val="8"/>
  </w:num>
  <w:num w:numId="6" w16cid:durableId="1173647034">
    <w:abstractNumId w:val="14"/>
  </w:num>
  <w:num w:numId="7" w16cid:durableId="339086890">
    <w:abstractNumId w:val="3"/>
  </w:num>
  <w:num w:numId="8" w16cid:durableId="589774215">
    <w:abstractNumId w:val="0"/>
  </w:num>
  <w:num w:numId="9" w16cid:durableId="352726277">
    <w:abstractNumId w:val="16"/>
  </w:num>
  <w:num w:numId="10" w16cid:durableId="1684013352">
    <w:abstractNumId w:val="6"/>
  </w:num>
  <w:num w:numId="11" w16cid:durableId="294481573">
    <w:abstractNumId w:val="7"/>
  </w:num>
  <w:num w:numId="12" w16cid:durableId="59597170">
    <w:abstractNumId w:val="17"/>
  </w:num>
  <w:num w:numId="13" w16cid:durableId="1924800359">
    <w:abstractNumId w:val="9"/>
  </w:num>
  <w:num w:numId="14" w16cid:durableId="1494180328">
    <w:abstractNumId w:val="19"/>
  </w:num>
  <w:num w:numId="15" w16cid:durableId="1312252006">
    <w:abstractNumId w:val="1"/>
  </w:num>
  <w:num w:numId="16" w16cid:durableId="1861891364">
    <w:abstractNumId w:val="11"/>
  </w:num>
  <w:num w:numId="17" w16cid:durableId="1432125361">
    <w:abstractNumId w:val="20"/>
  </w:num>
  <w:num w:numId="18" w16cid:durableId="5600974">
    <w:abstractNumId w:val="2"/>
  </w:num>
  <w:num w:numId="19" w16cid:durableId="495613718">
    <w:abstractNumId w:val="12"/>
  </w:num>
  <w:num w:numId="20" w16cid:durableId="1318454208">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activeWritingStyle w:appName="MSWord" w:lang="en-GB" w:vendorID="64" w:dllVersion="0" w:nlCheck="1" w:checkStyle="0"/>
  <w:proofState w:spelling="clean" w:grammar="clean"/>
  <w:styleLockTheme/>
  <w:styleLockQFSet/>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4AD"/>
    <w:rsid w:val="00000249"/>
    <w:rsid w:val="00000B22"/>
    <w:rsid w:val="000019C4"/>
    <w:rsid w:val="00001C06"/>
    <w:rsid w:val="00002DFD"/>
    <w:rsid w:val="00003E24"/>
    <w:rsid w:val="000041E6"/>
    <w:rsid w:val="00006949"/>
    <w:rsid w:val="00007302"/>
    <w:rsid w:val="000100C2"/>
    <w:rsid w:val="00012802"/>
    <w:rsid w:val="000130BD"/>
    <w:rsid w:val="000134F0"/>
    <w:rsid w:val="00015351"/>
    <w:rsid w:val="00016382"/>
    <w:rsid w:val="000163CB"/>
    <w:rsid w:val="000169DF"/>
    <w:rsid w:val="00020F0E"/>
    <w:rsid w:val="000220D3"/>
    <w:rsid w:val="00025B3A"/>
    <w:rsid w:val="00026FE8"/>
    <w:rsid w:val="00027962"/>
    <w:rsid w:val="0003015B"/>
    <w:rsid w:val="0003021E"/>
    <w:rsid w:val="00030EA3"/>
    <w:rsid w:val="000345A2"/>
    <w:rsid w:val="00035488"/>
    <w:rsid w:val="0003676F"/>
    <w:rsid w:val="00036C02"/>
    <w:rsid w:val="00037308"/>
    <w:rsid w:val="0004042C"/>
    <w:rsid w:val="0004178E"/>
    <w:rsid w:val="00041A05"/>
    <w:rsid w:val="00041AAD"/>
    <w:rsid w:val="0004235B"/>
    <w:rsid w:val="00042F6F"/>
    <w:rsid w:val="00043BC4"/>
    <w:rsid w:val="00043E45"/>
    <w:rsid w:val="00044E2A"/>
    <w:rsid w:val="00045500"/>
    <w:rsid w:val="00046CFC"/>
    <w:rsid w:val="0004725A"/>
    <w:rsid w:val="00047553"/>
    <w:rsid w:val="0004784E"/>
    <w:rsid w:val="00052131"/>
    <w:rsid w:val="000528DE"/>
    <w:rsid w:val="00054EAB"/>
    <w:rsid w:val="00055353"/>
    <w:rsid w:val="0005562F"/>
    <w:rsid w:val="000556D7"/>
    <w:rsid w:val="00056611"/>
    <w:rsid w:val="00060634"/>
    <w:rsid w:val="000618BA"/>
    <w:rsid w:val="00061EB4"/>
    <w:rsid w:val="0006336B"/>
    <w:rsid w:val="000673D7"/>
    <w:rsid w:val="0006781E"/>
    <w:rsid w:val="00067D0E"/>
    <w:rsid w:val="000716FA"/>
    <w:rsid w:val="0007194E"/>
    <w:rsid w:val="00071FF8"/>
    <w:rsid w:val="0007210B"/>
    <w:rsid w:val="0007449F"/>
    <w:rsid w:val="00075906"/>
    <w:rsid w:val="00075A36"/>
    <w:rsid w:val="00076490"/>
    <w:rsid w:val="00076BF4"/>
    <w:rsid w:val="00077DE8"/>
    <w:rsid w:val="000806E2"/>
    <w:rsid w:val="00080C41"/>
    <w:rsid w:val="000812E7"/>
    <w:rsid w:val="00081BB0"/>
    <w:rsid w:val="00085AAD"/>
    <w:rsid w:val="00085E14"/>
    <w:rsid w:val="000861E5"/>
    <w:rsid w:val="00087EEA"/>
    <w:rsid w:val="000923A9"/>
    <w:rsid w:val="0009244C"/>
    <w:rsid w:val="000924CD"/>
    <w:rsid w:val="00092BC9"/>
    <w:rsid w:val="00092DA3"/>
    <w:rsid w:val="00093AFC"/>
    <w:rsid w:val="00093FEE"/>
    <w:rsid w:val="00094702"/>
    <w:rsid w:val="000963AA"/>
    <w:rsid w:val="0009658D"/>
    <w:rsid w:val="00097F0C"/>
    <w:rsid w:val="000A14B8"/>
    <w:rsid w:val="000A3D32"/>
    <w:rsid w:val="000B0175"/>
    <w:rsid w:val="000B06FB"/>
    <w:rsid w:val="000B652B"/>
    <w:rsid w:val="000B6F58"/>
    <w:rsid w:val="000B7614"/>
    <w:rsid w:val="000B7DB9"/>
    <w:rsid w:val="000C068F"/>
    <w:rsid w:val="000C360F"/>
    <w:rsid w:val="000C43B8"/>
    <w:rsid w:val="000C46A6"/>
    <w:rsid w:val="000D047D"/>
    <w:rsid w:val="000D2037"/>
    <w:rsid w:val="000D2527"/>
    <w:rsid w:val="000D29F2"/>
    <w:rsid w:val="000D3410"/>
    <w:rsid w:val="000D3AAF"/>
    <w:rsid w:val="000D4642"/>
    <w:rsid w:val="000D4805"/>
    <w:rsid w:val="000D4939"/>
    <w:rsid w:val="000D5149"/>
    <w:rsid w:val="000D5A20"/>
    <w:rsid w:val="000D7978"/>
    <w:rsid w:val="000D7F9E"/>
    <w:rsid w:val="000E288F"/>
    <w:rsid w:val="000E34BD"/>
    <w:rsid w:val="000E3981"/>
    <w:rsid w:val="000E4D4A"/>
    <w:rsid w:val="000E501A"/>
    <w:rsid w:val="000E5DD5"/>
    <w:rsid w:val="000E702D"/>
    <w:rsid w:val="000F095E"/>
    <w:rsid w:val="000F1BF2"/>
    <w:rsid w:val="000F1CA9"/>
    <w:rsid w:val="000F2E0A"/>
    <w:rsid w:val="000F36C3"/>
    <w:rsid w:val="000F4498"/>
    <w:rsid w:val="000F467D"/>
    <w:rsid w:val="000F598B"/>
    <w:rsid w:val="000F7146"/>
    <w:rsid w:val="000F7A5F"/>
    <w:rsid w:val="000F7D0E"/>
    <w:rsid w:val="000F7E13"/>
    <w:rsid w:val="001005EC"/>
    <w:rsid w:val="00100801"/>
    <w:rsid w:val="00103475"/>
    <w:rsid w:val="00104123"/>
    <w:rsid w:val="001050CA"/>
    <w:rsid w:val="00106395"/>
    <w:rsid w:val="00106E07"/>
    <w:rsid w:val="00107527"/>
    <w:rsid w:val="00110E81"/>
    <w:rsid w:val="00111394"/>
    <w:rsid w:val="00111823"/>
    <w:rsid w:val="001133B3"/>
    <w:rsid w:val="0011385C"/>
    <w:rsid w:val="0011485A"/>
    <w:rsid w:val="001177F2"/>
    <w:rsid w:val="00117EF2"/>
    <w:rsid w:val="0012070C"/>
    <w:rsid w:val="0012182E"/>
    <w:rsid w:val="001218F1"/>
    <w:rsid w:val="00124921"/>
    <w:rsid w:val="00127738"/>
    <w:rsid w:val="001277C2"/>
    <w:rsid w:val="0013159F"/>
    <w:rsid w:val="00132185"/>
    <w:rsid w:val="0013357F"/>
    <w:rsid w:val="00135155"/>
    <w:rsid w:val="00135495"/>
    <w:rsid w:val="00135661"/>
    <w:rsid w:val="00135883"/>
    <w:rsid w:val="0013674C"/>
    <w:rsid w:val="00136931"/>
    <w:rsid w:val="00136BB9"/>
    <w:rsid w:val="001374BB"/>
    <w:rsid w:val="001376C7"/>
    <w:rsid w:val="00145582"/>
    <w:rsid w:val="00145F50"/>
    <w:rsid w:val="001463CB"/>
    <w:rsid w:val="001502FD"/>
    <w:rsid w:val="001508E7"/>
    <w:rsid w:val="00151702"/>
    <w:rsid w:val="00153DCA"/>
    <w:rsid w:val="001556B0"/>
    <w:rsid w:val="00155BE0"/>
    <w:rsid w:val="00156CA3"/>
    <w:rsid w:val="00156FF4"/>
    <w:rsid w:val="001572DE"/>
    <w:rsid w:val="00157454"/>
    <w:rsid w:val="00157BBF"/>
    <w:rsid w:val="00163054"/>
    <w:rsid w:val="00163062"/>
    <w:rsid w:val="001666D6"/>
    <w:rsid w:val="0016729B"/>
    <w:rsid w:val="001676FF"/>
    <w:rsid w:val="00167BCE"/>
    <w:rsid w:val="00170ED9"/>
    <w:rsid w:val="0017265C"/>
    <w:rsid w:val="00174351"/>
    <w:rsid w:val="00174F2D"/>
    <w:rsid w:val="00175A3D"/>
    <w:rsid w:val="00176499"/>
    <w:rsid w:val="00180369"/>
    <w:rsid w:val="00180916"/>
    <w:rsid w:val="0018138C"/>
    <w:rsid w:val="001830E6"/>
    <w:rsid w:val="00183D03"/>
    <w:rsid w:val="001844B4"/>
    <w:rsid w:val="001847F0"/>
    <w:rsid w:val="00185520"/>
    <w:rsid w:val="001869C5"/>
    <w:rsid w:val="00190793"/>
    <w:rsid w:val="00191568"/>
    <w:rsid w:val="00191C4A"/>
    <w:rsid w:val="00192EF3"/>
    <w:rsid w:val="0019312E"/>
    <w:rsid w:val="0019321F"/>
    <w:rsid w:val="001935B0"/>
    <w:rsid w:val="0019475B"/>
    <w:rsid w:val="001947EB"/>
    <w:rsid w:val="001959A7"/>
    <w:rsid w:val="00197372"/>
    <w:rsid w:val="001979F1"/>
    <w:rsid w:val="001A1803"/>
    <w:rsid w:val="001A4017"/>
    <w:rsid w:val="001A5845"/>
    <w:rsid w:val="001A5D50"/>
    <w:rsid w:val="001A5DD1"/>
    <w:rsid w:val="001A6C4B"/>
    <w:rsid w:val="001A6EFF"/>
    <w:rsid w:val="001B06FC"/>
    <w:rsid w:val="001B0C97"/>
    <w:rsid w:val="001B1980"/>
    <w:rsid w:val="001B28C1"/>
    <w:rsid w:val="001B3100"/>
    <w:rsid w:val="001B3317"/>
    <w:rsid w:val="001B3445"/>
    <w:rsid w:val="001B575B"/>
    <w:rsid w:val="001B7831"/>
    <w:rsid w:val="001B7D74"/>
    <w:rsid w:val="001C1631"/>
    <w:rsid w:val="001C38EE"/>
    <w:rsid w:val="001C3F19"/>
    <w:rsid w:val="001C4FBA"/>
    <w:rsid w:val="001C5229"/>
    <w:rsid w:val="001C592D"/>
    <w:rsid w:val="001C7080"/>
    <w:rsid w:val="001D121F"/>
    <w:rsid w:val="001D3102"/>
    <w:rsid w:val="001D3142"/>
    <w:rsid w:val="001D397C"/>
    <w:rsid w:val="001D3CD6"/>
    <w:rsid w:val="001D3EC4"/>
    <w:rsid w:val="001D4537"/>
    <w:rsid w:val="001D4BCF"/>
    <w:rsid w:val="001D58EF"/>
    <w:rsid w:val="001D6C11"/>
    <w:rsid w:val="001E0428"/>
    <w:rsid w:val="001E155B"/>
    <w:rsid w:val="001E2F5B"/>
    <w:rsid w:val="001E67AB"/>
    <w:rsid w:val="001E6CC1"/>
    <w:rsid w:val="001E6D78"/>
    <w:rsid w:val="001E7A08"/>
    <w:rsid w:val="001F02AD"/>
    <w:rsid w:val="001F414A"/>
    <w:rsid w:val="001F7843"/>
    <w:rsid w:val="0020002A"/>
    <w:rsid w:val="0020276F"/>
    <w:rsid w:val="00202C98"/>
    <w:rsid w:val="00204D3C"/>
    <w:rsid w:val="00207AFC"/>
    <w:rsid w:val="00207F52"/>
    <w:rsid w:val="002105ED"/>
    <w:rsid w:val="002111F0"/>
    <w:rsid w:val="00212496"/>
    <w:rsid w:val="00213E00"/>
    <w:rsid w:val="00215D7E"/>
    <w:rsid w:val="00217A83"/>
    <w:rsid w:val="00220888"/>
    <w:rsid w:val="002238A2"/>
    <w:rsid w:val="002240D0"/>
    <w:rsid w:val="00224F32"/>
    <w:rsid w:val="00225409"/>
    <w:rsid w:val="00226943"/>
    <w:rsid w:val="00227510"/>
    <w:rsid w:val="002304D9"/>
    <w:rsid w:val="0023080D"/>
    <w:rsid w:val="002308B2"/>
    <w:rsid w:val="00230A04"/>
    <w:rsid w:val="00230CD2"/>
    <w:rsid w:val="00230D96"/>
    <w:rsid w:val="0023120F"/>
    <w:rsid w:val="00231651"/>
    <w:rsid w:val="0023238E"/>
    <w:rsid w:val="002332A4"/>
    <w:rsid w:val="00233B1A"/>
    <w:rsid w:val="002357DF"/>
    <w:rsid w:val="00236323"/>
    <w:rsid w:val="00237158"/>
    <w:rsid w:val="00240932"/>
    <w:rsid w:val="002412A2"/>
    <w:rsid w:val="0024209D"/>
    <w:rsid w:val="00242260"/>
    <w:rsid w:val="0024235D"/>
    <w:rsid w:val="00244B47"/>
    <w:rsid w:val="0024538F"/>
    <w:rsid w:val="00245548"/>
    <w:rsid w:val="00245691"/>
    <w:rsid w:val="002475AA"/>
    <w:rsid w:val="00247E97"/>
    <w:rsid w:val="002500E4"/>
    <w:rsid w:val="00250AD6"/>
    <w:rsid w:val="00251664"/>
    <w:rsid w:val="00252479"/>
    <w:rsid w:val="00252D75"/>
    <w:rsid w:val="0025448B"/>
    <w:rsid w:val="00254F58"/>
    <w:rsid w:val="00255EBF"/>
    <w:rsid w:val="00260091"/>
    <w:rsid w:val="0026094A"/>
    <w:rsid w:val="00260DC5"/>
    <w:rsid w:val="0026103C"/>
    <w:rsid w:val="00261B81"/>
    <w:rsid w:val="00262309"/>
    <w:rsid w:val="00263CC7"/>
    <w:rsid w:val="0026445D"/>
    <w:rsid w:val="00264503"/>
    <w:rsid w:val="00264D22"/>
    <w:rsid w:val="00265027"/>
    <w:rsid w:val="00265E0C"/>
    <w:rsid w:val="00266EC1"/>
    <w:rsid w:val="00270C8F"/>
    <w:rsid w:val="0027122A"/>
    <w:rsid w:val="00271702"/>
    <w:rsid w:val="0027207A"/>
    <w:rsid w:val="002720A3"/>
    <w:rsid w:val="00274669"/>
    <w:rsid w:val="00274822"/>
    <w:rsid w:val="00274C31"/>
    <w:rsid w:val="002766F7"/>
    <w:rsid w:val="00276A51"/>
    <w:rsid w:val="00277A7D"/>
    <w:rsid w:val="00277C9F"/>
    <w:rsid w:val="002803D8"/>
    <w:rsid w:val="00282174"/>
    <w:rsid w:val="00282BA5"/>
    <w:rsid w:val="002855D0"/>
    <w:rsid w:val="00287F07"/>
    <w:rsid w:val="00290296"/>
    <w:rsid w:val="002913A7"/>
    <w:rsid w:val="002914F1"/>
    <w:rsid w:val="002916D7"/>
    <w:rsid w:val="00291C82"/>
    <w:rsid w:val="002935C1"/>
    <w:rsid w:val="00293ED6"/>
    <w:rsid w:val="002943E7"/>
    <w:rsid w:val="00294960"/>
    <w:rsid w:val="00294984"/>
    <w:rsid w:val="00295466"/>
    <w:rsid w:val="002959E7"/>
    <w:rsid w:val="00295D6E"/>
    <w:rsid w:val="00296046"/>
    <w:rsid w:val="002961E6"/>
    <w:rsid w:val="0029719D"/>
    <w:rsid w:val="002974BC"/>
    <w:rsid w:val="00297D16"/>
    <w:rsid w:val="002A2208"/>
    <w:rsid w:val="002A2BEB"/>
    <w:rsid w:val="002A2FD5"/>
    <w:rsid w:val="002A475A"/>
    <w:rsid w:val="002A5BFB"/>
    <w:rsid w:val="002A5CF5"/>
    <w:rsid w:val="002A6064"/>
    <w:rsid w:val="002A64EF"/>
    <w:rsid w:val="002A6F65"/>
    <w:rsid w:val="002B2C1B"/>
    <w:rsid w:val="002B4C98"/>
    <w:rsid w:val="002B51F4"/>
    <w:rsid w:val="002B6A71"/>
    <w:rsid w:val="002B7BFA"/>
    <w:rsid w:val="002B7F51"/>
    <w:rsid w:val="002C0298"/>
    <w:rsid w:val="002C0B5A"/>
    <w:rsid w:val="002C21F3"/>
    <w:rsid w:val="002C3CA1"/>
    <w:rsid w:val="002C49DB"/>
    <w:rsid w:val="002C4EC2"/>
    <w:rsid w:val="002C4F5E"/>
    <w:rsid w:val="002C6314"/>
    <w:rsid w:val="002C7F99"/>
    <w:rsid w:val="002D4105"/>
    <w:rsid w:val="002D49C1"/>
    <w:rsid w:val="002D4CCD"/>
    <w:rsid w:val="002D7E8C"/>
    <w:rsid w:val="002E4121"/>
    <w:rsid w:val="002E4846"/>
    <w:rsid w:val="002E5742"/>
    <w:rsid w:val="002E5FE0"/>
    <w:rsid w:val="002E6DA9"/>
    <w:rsid w:val="002E76AB"/>
    <w:rsid w:val="002F052C"/>
    <w:rsid w:val="002F089F"/>
    <w:rsid w:val="002F1038"/>
    <w:rsid w:val="002F1354"/>
    <w:rsid w:val="002F160E"/>
    <w:rsid w:val="002F1C0C"/>
    <w:rsid w:val="002F3A59"/>
    <w:rsid w:val="002F3D1B"/>
    <w:rsid w:val="002F4FA5"/>
    <w:rsid w:val="002F5BA8"/>
    <w:rsid w:val="002F6FA2"/>
    <w:rsid w:val="00302531"/>
    <w:rsid w:val="00302AD2"/>
    <w:rsid w:val="00302D8C"/>
    <w:rsid w:val="003039A5"/>
    <w:rsid w:val="003042CA"/>
    <w:rsid w:val="00304C66"/>
    <w:rsid w:val="0030627F"/>
    <w:rsid w:val="00306BF9"/>
    <w:rsid w:val="0030798C"/>
    <w:rsid w:val="0031031B"/>
    <w:rsid w:val="00310935"/>
    <w:rsid w:val="003110C0"/>
    <w:rsid w:val="0031119D"/>
    <w:rsid w:val="00311435"/>
    <w:rsid w:val="003122C6"/>
    <w:rsid w:val="0031337D"/>
    <w:rsid w:val="00314838"/>
    <w:rsid w:val="0031491E"/>
    <w:rsid w:val="00315825"/>
    <w:rsid w:val="00317894"/>
    <w:rsid w:val="00317EA2"/>
    <w:rsid w:val="003202B8"/>
    <w:rsid w:val="00321235"/>
    <w:rsid w:val="00321799"/>
    <w:rsid w:val="00322878"/>
    <w:rsid w:val="00322BF6"/>
    <w:rsid w:val="003239F5"/>
    <w:rsid w:val="00324385"/>
    <w:rsid w:val="00324AC3"/>
    <w:rsid w:val="0032530C"/>
    <w:rsid w:val="00326F06"/>
    <w:rsid w:val="00327675"/>
    <w:rsid w:val="00331413"/>
    <w:rsid w:val="00331EA7"/>
    <w:rsid w:val="00332019"/>
    <w:rsid w:val="0033315A"/>
    <w:rsid w:val="00334506"/>
    <w:rsid w:val="00334C8B"/>
    <w:rsid w:val="00334EC3"/>
    <w:rsid w:val="00343483"/>
    <w:rsid w:val="00343FED"/>
    <w:rsid w:val="003463B1"/>
    <w:rsid w:val="00346EA5"/>
    <w:rsid w:val="00351929"/>
    <w:rsid w:val="0035310D"/>
    <w:rsid w:val="003555C0"/>
    <w:rsid w:val="00356570"/>
    <w:rsid w:val="00356A43"/>
    <w:rsid w:val="003600AC"/>
    <w:rsid w:val="003607D3"/>
    <w:rsid w:val="00363FA3"/>
    <w:rsid w:val="00364FE0"/>
    <w:rsid w:val="00366B2D"/>
    <w:rsid w:val="00366C76"/>
    <w:rsid w:val="00366D81"/>
    <w:rsid w:val="00367D7D"/>
    <w:rsid w:val="003700D7"/>
    <w:rsid w:val="00371401"/>
    <w:rsid w:val="0037172C"/>
    <w:rsid w:val="003734A0"/>
    <w:rsid w:val="00373BB1"/>
    <w:rsid w:val="00376523"/>
    <w:rsid w:val="00376AC7"/>
    <w:rsid w:val="0037707D"/>
    <w:rsid w:val="00377230"/>
    <w:rsid w:val="00377F56"/>
    <w:rsid w:val="00381985"/>
    <w:rsid w:val="003819D6"/>
    <w:rsid w:val="0038207A"/>
    <w:rsid w:val="00383232"/>
    <w:rsid w:val="00384690"/>
    <w:rsid w:val="003847C4"/>
    <w:rsid w:val="00386791"/>
    <w:rsid w:val="00386C6D"/>
    <w:rsid w:val="00387E79"/>
    <w:rsid w:val="00391E6F"/>
    <w:rsid w:val="0039521F"/>
    <w:rsid w:val="0039648F"/>
    <w:rsid w:val="00396962"/>
    <w:rsid w:val="003A0C87"/>
    <w:rsid w:val="003A0D1C"/>
    <w:rsid w:val="003A135D"/>
    <w:rsid w:val="003A1735"/>
    <w:rsid w:val="003A38A2"/>
    <w:rsid w:val="003A4ADF"/>
    <w:rsid w:val="003A4E60"/>
    <w:rsid w:val="003A5C9C"/>
    <w:rsid w:val="003A6EA9"/>
    <w:rsid w:val="003A748E"/>
    <w:rsid w:val="003A79F6"/>
    <w:rsid w:val="003B51D1"/>
    <w:rsid w:val="003B706D"/>
    <w:rsid w:val="003B7BD7"/>
    <w:rsid w:val="003C0E86"/>
    <w:rsid w:val="003C19EE"/>
    <w:rsid w:val="003C3988"/>
    <w:rsid w:val="003C4052"/>
    <w:rsid w:val="003C444D"/>
    <w:rsid w:val="003C44BC"/>
    <w:rsid w:val="003C47B1"/>
    <w:rsid w:val="003C5639"/>
    <w:rsid w:val="003C5966"/>
    <w:rsid w:val="003C5E2D"/>
    <w:rsid w:val="003C6189"/>
    <w:rsid w:val="003C6FF4"/>
    <w:rsid w:val="003C7A14"/>
    <w:rsid w:val="003D0A40"/>
    <w:rsid w:val="003D1E0D"/>
    <w:rsid w:val="003D20D2"/>
    <w:rsid w:val="003D23EB"/>
    <w:rsid w:val="003D3E02"/>
    <w:rsid w:val="003D459E"/>
    <w:rsid w:val="003D50C0"/>
    <w:rsid w:val="003D52B7"/>
    <w:rsid w:val="003D59C6"/>
    <w:rsid w:val="003D5DB0"/>
    <w:rsid w:val="003D66B3"/>
    <w:rsid w:val="003D71DB"/>
    <w:rsid w:val="003E06CA"/>
    <w:rsid w:val="003E0724"/>
    <w:rsid w:val="003E0EC2"/>
    <w:rsid w:val="003E1CB5"/>
    <w:rsid w:val="003E4A7E"/>
    <w:rsid w:val="003E53D9"/>
    <w:rsid w:val="003E7EF5"/>
    <w:rsid w:val="003F20C5"/>
    <w:rsid w:val="003F2287"/>
    <w:rsid w:val="003F3911"/>
    <w:rsid w:val="003F58EB"/>
    <w:rsid w:val="003F5ACA"/>
    <w:rsid w:val="003F617B"/>
    <w:rsid w:val="003F68CF"/>
    <w:rsid w:val="003F68FD"/>
    <w:rsid w:val="003F6CFC"/>
    <w:rsid w:val="003F7E8F"/>
    <w:rsid w:val="0040348A"/>
    <w:rsid w:val="00403865"/>
    <w:rsid w:val="00404EC5"/>
    <w:rsid w:val="00404FAB"/>
    <w:rsid w:val="004055A2"/>
    <w:rsid w:val="00406CA9"/>
    <w:rsid w:val="00406E76"/>
    <w:rsid w:val="00407FC4"/>
    <w:rsid w:val="00412A52"/>
    <w:rsid w:val="004133EB"/>
    <w:rsid w:val="0041471A"/>
    <w:rsid w:val="004148D9"/>
    <w:rsid w:val="00415654"/>
    <w:rsid w:val="00420BB7"/>
    <w:rsid w:val="00421147"/>
    <w:rsid w:val="004215AD"/>
    <w:rsid w:val="00425A4B"/>
    <w:rsid w:val="00425F35"/>
    <w:rsid w:val="00425F82"/>
    <w:rsid w:val="00427A7C"/>
    <w:rsid w:val="00430058"/>
    <w:rsid w:val="004317EE"/>
    <w:rsid w:val="00432B70"/>
    <w:rsid w:val="00432E95"/>
    <w:rsid w:val="00433B99"/>
    <w:rsid w:val="00433D57"/>
    <w:rsid w:val="00433E2F"/>
    <w:rsid w:val="00434401"/>
    <w:rsid w:val="0043473A"/>
    <w:rsid w:val="0043532B"/>
    <w:rsid w:val="004367D7"/>
    <w:rsid w:val="00436957"/>
    <w:rsid w:val="00437337"/>
    <w:rsid w:val="004376E1"/>
    <w:rsid w:val="0044020D"/>
    <w:rsid w:val="00441A41"/>
    <w:rsid w:val="004420C1"/>
    <w:rsid w:val="00442ECD"/>
    <w:rsid w:val="00442F2F"/>
    <w:rsid w:val="004438B1"/>
    <w:rsid w:val="004438B2"/>
    <w:rsid w:val="004447BF"/>
    <w:rsid w:val="00445817"/>
    <w:rsid w:val="00447467"/>
    <w:rsid w:val="00450821"/>
    <w:rsid w:val="00452757"/>
    <w:rsid w:val="00453652"/>
    <w:rsid w:val="00455C7C"/>
    <w:rsid w:val="004563FE"/>
    <w:rsid w:val="00463785"/>
    <w:rsid w:val="0046385C"/>
    <w:rsid w:val="00464021"/>
    <w:rsid w:val="004645F3"/>
    <w:rsid w:val="00465ED0"/>
    <w:rsid w:val="004709FF"/>
    <w:rsid w:val="00470A58"/>
    <w:rsid w:val="00470F59"/>
    <w:rsid w:val="00471558"/>
    <w:rsid w:val="004723AC"/>
    <w:rsid w:val="00473A96"/>
    <w:rsid w:val="0047599A"/>
    <w:rsid w:val="004771E4"/>
    <w:rsid w:val="004813A6"/>
    <w:rsid w:val="00481E15"/>
    <w:rsid w:val="0048294E"/>
    <w:rsid w:val="00482E42"/>
    <w:rsid w:val="0048316F"/>
    <w:rsid w:val="0048358B"/>
    <w:rsid w:val="004839C3"/>
    <w:rsid w:val="00483FC5"/>
    <w:rsid w:val="00484496"/>
    <w:rsid w:val="00485723"/>
    <w:rsid w:val="00486AD3"/>
    <w:rsid w:val="00490309"/>
    <w:rsid w:val="00494338"/>
    <w:rsid w:val="004943F2"/>
    <w:rsid w:val="00494430"/>
    <w:rsid w:val="00495C08"/>
    <w:rsid w:val="00496318"/>
    <w:rsid w:val="00496952"/>
    <w:rsid w:val="00496D06"/>
    <w:rsid w:val="00496E77"/>
    <w:rsid w:val="0049747C"/>
    <w:rsid w:val="00497965"/>
    <w:rsid w:val="00497F09"/>
    <w:rsid w:val="004A3130"/>
    <w:rsid w:val="004A3B35"/>
    <w:rsid w:val="004A5A0B"/>
    <w:rsid w:val="004A7355"/>
    <w:rsid w:val="004B01FA"/>
    <w:rsid w:val="004B0776"/>
    <w:rsid w:val="004B079D"/>
    <w:rsid w:val="004B1B89"/>
    <w:rsid w:val="004B204F"/>
    <w:rsid w:val="004B5B47"/>
    <w:rsid w:val="004C3030"/>
    <w:rsid w:val="004C365F"/>
    <w:rsid w:val="004C45DA"/>
    <w:rsid w:val="004C4FBF"/>
    <w:rsid w:val="004C547D"/>
    <w:rsid w:val="004C61EA"/>
    <w:rsid w:val="004C687C"/>
    <w:rsid w:val="004C722C"/>
    <w:rsid w:val="004C7D65"/>
    <w:rsid w:val="004D1CA1"/>
    <w:rsid w:val="004D22A4"/>
    <w:rsid w:val="004D3093"/>
    <w:rsid w:val="004D464E"/>
    <w:rsid w:val="004D5417"/>
    <w:rsid w:val="004D5ECD"/>
    <w:rsid w:val="004D5F60"/>
    <w:rsid w:val="004D696B"/>
    <w:rsid w:val="004D6DCE"/>
    <w:rsid w:val="004E1DE0"/>
    <w:rsid w:val="004E1FB5"/>
    <w:rsid w:val="004E4B47"/>
    <w:rsid w:val="004E518F"/>
    <w:rsid w:val="004E5C9A"/>
    <w:rsid w:val="004E782A"/>
    <w:rsid w:val="004F0222"/>
    <w:rsid w:val="004F0422"/>
    <w:rsid w:val="004F0CD9"/>
    <w:rsid w:val="004F34AD"/>
    <w:rsid w:val="004F46D3"/>
    <w:rsid w:val="004F52A3"/>
    <w:rsid w:val="004F7146"/>
    <w:rsid w:val="005011C3"/>
    <w:rsid w:val="00501ADD"/>
    <w:rsid w:val="00503181"/>
    <w:rsid w:val="00504DBA"/>
    <w:rsid w:val="005051C5"/>
    <w:rsid w:val="0050587D"/>
    <w:rsid w:val="005073C2"/>
    <w:rsid w:val="00507A66"/>
    <w:rsid w:val="005105A9"/>
    <w:rsid w:val="00510E8D"/>
    <w:rsid w:val="00512E29"/>
    <w:rsid w:val="00515D43"/>
    <w:rsid w:val="00516EE2"/>
    <w:rsid w:val="005170B4"/>
    <w:rsid w:val="00520402"/>
    <w:rsid w:val="005208F6"/>
    <w:rsid w:val="00520A45"/>
    <w:rsid w:val="0052183E"/>
    <w:rsid w:val="0052207F"/>
    <w:rsid w:val="00523D82"/>
    <w:rsid w:val="00523E43"/>
    <w:rsid w:val="00524334"/>
    <w:rsid w:val="00524C22"/>
    <w:rsid w:val="00527175"/>
    <w:rsid w:val="0053106C"/>
    <w:rsid w:val="005331E0"/>
    <w:rsid w:val="0053421F"/>
    <w:rsid w:val="00535485"/>
    <w:rsid w:val="00540791"/>
    <w:rsid w:val="00541539"/>
    <w:rsid w:val="00542B41"/>
    <w:rsid w:val="005432B9"/>
    <w:rsid w:val="005464AE"/>
    <w:rsid w:val="0054662B"/>
    <w:rsid w:val="00551F1E"/>
    <w:rsid w:val="00552FD6"/>
    <w:rsid w:val="00553189"/>
    <w:rsid w:val="00556FEF"/>
    <w:rsid w:val="005603D8"/>
    <w:rsid w:val="00561ACD"/>
    <w:rsid w:val="00561E2A"/>
    <w:rsid w:val="00561F4D"/>
    <w:rsid w:val="0056200F"/>
    <w:rsid w:val="0056431E"/>
    <w:rsid w:val="0056532C"/>
    <w:rsid w:val="005659A6"/>
    <w:rsid w:val="0056649A"/>
    <w:rsid w:val="005671A1"/>
    <w:rsid w:val="00567292"/>
    <w:rsid w:val="00567F72"/>
    <w:rsid w:val="005713F1"/>
    <w:rsid w:val="005716CD"/>
    <w:rsid w:val="00572868"/>
    <w:rsid w:val="00573C00"/>
    <w:rsid w:val="00575A40"/>
    <w:rsid w:val="00575FC4"/>
    <w:rsid w:val="00576B8A"/>
    <w:rsid w:val="00580354"/>
    <w:rsid w:val="005822CD"/>
    <w:rsid w:val="00582B8C"/>
    <w:rsid w:val="00582F3B"/>
    <w:rsid w:val="00584F42"/>
    <w:rsid w:val="0058590D"/>
    <w:rsid w:val="0058624E"/>
    <w:rsid w:val="00586D90"/>
    <w:rsid w:val="00590D32"/>
    <w:rsid w:val="0059153F"/>
    <w:rsid w:val="005929FC"/>
    <w:rsid w:val="0059335E"/>
    <w:rsid w:val="0059343B"/>
    <w:rsid w:val="00593495"/>
    <w:rsid w:val="00593C9E"/>
    <w:rsid w:val="00593DD2"/>
    <w:rsid w:val="00596B25"/>
    <w:rsid w:val="005A0C89"/>
    <w:rsid w:val="005A0E4E"/>
    <w:rsid w:val="005A1BD1"/>
    <w:rsid w:val="005A1D54"/>
    <w:rsid w:val="005A39AC"/>
    <w:rsid w:val="005A3D7D"/>
    <w:rsid w:val="005A4061"/>
    <w:rsid w:val="005A41C0"/>
    <w:rsid w:val="005A6B77"/>
    <w:rsid w:val="005A6BBF"/>
    <w:rsid w:val="005A6E1B"/>
    <w:rsid w:val="005B268E"/>
    <w:rsid w:val="005B2A2E"/>
    <w:rsid w:val="005B3D6C"/>
    <w:rsid w:val="005B5870"/>
    <w:rsid w:val="005B762B"/>
    <w:rsid w:val="005B7BF0"/>
    <w:rsid w:val="005C1089"/>
    <w:rsid w:val="005C1E6F"/>
    <w:rsid w:val="005C1E82"/>
    <w:rsid w:val="005C30C1"/>
    <w:rsid w:val="005C3FCC"/>
    <w:rsid w:val="005C42E5"/>
    <w:rsid w:val="005C4642"/>
    <w:rsid w:val="005C5A3C"/>
    <w:rsid w:val="005C6234"/>
    <w:rsid w:val="005C699E"/>
    <w:rsid w:val="005C6D61"/>
    <w:rsid w:val="005D166A"/>
    <w:rsid w:val="005D186D"/>
    <w:rsid w:val="005D1FA3"/>
    <w:rsid w:val="005D26EE"/>
    <w:rsid w:val="005D3392"/>
    <w:rsid w:val="005D50E1"/>
    <w:rsid w:val="005D51ED"/>
    <w:rsid w:val="005D5CAB"/>
    <w:rsid w:val="005D684A"/>
    <w:rsid w:val="005D6A3F"/>
    <w:rsid w:val="005D7F12"/>
    <w:rsid w:val="005E0EC4"/>
    <w:rsid w:val="005E1221"/>
    <w:rsid w:val="005E2BB4"/>
    <w:rsid w:val="005E3AE7"/>
    <w:rsid w:val="005E3CAB"/>
    <w:rsid w:val="005E6B3D"/>
    <w:rsid w:val="005F023D"/>
    <w:rsid w:val="005F1E29"/>
    <w:rsid w:val="005F4163"/>
    <w:rsid w:val="005F580F"/>
    <w:rsid w:val="005F6290"/>
    <w:rsid w:val="005F67B7"/>
    <w:rsid w:val="006020D2"/>
    <w:rsid w:val="00604901"/>
    <w:rsid w:val="00604E1B"/>
    <w:rsid w:val="00605E7F"/>
    <w:rsid w:val="006061E3"/>
    <w:rsid w:val="00607F80"/>
    <w:rsid w:val="00610104"/>
    <w:rsid w:val="006115C4"/>
    <w:rsid w:val="006135CF"/>
    <w:rsid w:val="00616A52"/>
    <w:rsid w:val="00616C7E"/>
    <w:rsid w:val="006200F0"/>
    <w:rsid w:val="00620196"/>
    <w:rsid w:val="00620862"/>
    <w:rsid w:val="00620C07"/>
    <w:rsid w:val="00620E9B"/>
    <w:rsid w:val="00622EEC"/>
    <w:rsid w:val="0062580D"/>
    <w:rsid w:val="00625B01"/>
    <w:rsid w:val="00625DBE"/>
    <w:rsid w:val="0062749C"/>
    <w:rsid w:val="00627850"/>
    <w:rsid w:val="006313CF"/>
    <w:rsid w:val="00631C33"/>
    <w:rsid w:val="00633410"/>
    <w:rsid w:val="006344DE"/>
    <w:rsid w:val="00635D96"/>
    <w:rsid w:val="00637222"/>
    <w:rsid w:val="006378F2"/>
    <w:rsid w:val="006414D0"/>
    <w:rsid w:val="00643566"/>
    <w:rsid w:val="0064483E"/>
    <w:rsid w:val="00644894"/>
    <w:rsid w:val="00644F71"/>
    <w:rsid w:val="00647A3D"/>
    <w:rsid w:val="00647BF0"/>
    <w:rsid w:val="0065065B"/>
    <w:rsid w:val="00650A15"/>
    <w:rsid w:val="00651471"/>
    <w:rsid w:val="006514D1"/>
    <w:rsid w:val="00652F5C"/>
    <w:rsid w:val="00653ECB"/>
    <w:rsid w:val="006541F2"/>
    <w:rsid w:val="0065435F"/>
    <w:rsid w:val="00654CC8"/>
    <w:rsid w:val="00655048"/>
    <w:rsid w:val="00655095"/>
    <w:rsid w:val="006577FF"/>
    <w:rsid w:val="00657CD6"/>
    <w:rsid w:val="0066202F"/>
    <w:rsid w:val="0066569F"/>
    <w:rsid w:val="006656DE"/>
    <w:rsid w:val="00666ED3"/>
    <w:rsid w:val="00666FD9"/>
    <w:rsid w:val="00667C62"/>
    <w:rsid w:val="00671578"/>
    <w:rsid w:val="00671B7F"/>
    <w:rsid w:val="006720CB"/>
    <w:rsid w:val="00673096"/>
    <w:rsid w:val="00673F83"/>
    <w:rsid w:val="00674F85"/>
    <w:rsid w:val="006770EE"/>
    <w:rsid w:val="0068031A"/>
    <w:rsid w:val="006827C9"/>
    <w:rsid w:val="00682800"/>
    <w:rsid w:val="00684736"/>
    <w:rsid w:val="00685185"/>
    <w:rsid w:val="00685F1B"/>
    <w:rsid w:val="00686A8C"/>
    <w:rsid w:val="006917A9"/>
    <w:rsid w:val="00694593"/>
    <w:rsid w:val="0069459B"/>
    <w:rsid w:val="006958BC"/>
    <w:rsid w:val="00695C42"/>
    <w:rsid w:val="006A08DC"/>
    <w:rsid w:val="006A1A71"/>
    <w:rsid w:val="006A47C2"/>
    <w:rsid w:val="006A4AA4"/>
    <w:rsid w:val="006A77B0"/>
    <w:rsid w:val="006A7BAE"/>
    <w:rsid w:val="006B0002"/>
    <w:rsid w:val="006B0635"/>
    <w:rsid w:val="006B0775"/>
    <w:rsid w:val="006B130C"/>
    <w:rsid w:val="006B140F"/>
    <w:rsid w:val="006B1951"/>
    <w:rsid w:val="006B204B"/>
    <w:rsid w:val="006B254D"/>
    <w:rsid w:val="006B25BD"/>
    <w:rsid w:val="006B26E7"/>
    <w:rsid w:val="006B42D4"/>
    <w:rsid w:val="006B438F"/>
    <w:rsid w:val="006B496D"/>
    <w:rsid w:val="006B4A05"/>
    <w:rsid w:val="006B51BF"/>
    <w:rsid w:val="006B5A20"/>
    <w:rsid w:val="006B5ABB"/>
    <w:rsid w:val="006B6763"/>
    <w:rsid w:val="006B6D13"/>
    <w:rsid w:val="006B7649"/>
    <w:rsid w:val="006C0316"/>
    <w:rsid w:val="006C049D"/>
    <w:rsid w:val="006C0E34"/>
    <w:rsid w:val="006C23B3"/>
    <w:rsid w:val="006C2562"/>
    <w:rsid w:val="006C2C37"/>
    <w:rsid w:val="006C34F7"/>
    <w:rsid w:val="006C3852"/>
    <w:rsid w:val="006C3EDB"/>
    <w:rsid w:val="006C78B2"/>
    <w:rsid w:val="006D0974"/>
    <w:rsid w:val="006D18BE"/>
    <w:rsid w:val="006D1DB5"/>
    <w:rsid w:val="006D3F16"/>
    <w:rsid w:val="006D4C79"/>
    <w:rsid w:val="006D5F87"/>
    <w:rsid w:val="006E02DC"/>
    <w:rsid w:val="006E08CF"/>
    <w:rsid w:val="006E1B1F"/>
    <w:rsid w:val="006E4F27"/>
    <w:rsid w:val="006E5005"/>
    <w:rsid w:val="006E5D17"/>
    <w:rsid w:val="006E5D21"/>
    <w:rsid w:val="006F05AE"/>
    <w:rsid w:val="006F2AA7"/>
    <w:rsid w:val="006F3C24"/>
    <w:rsid w:val="006F514E"/>
    <w:rsid w:val="006F6664"/>
    <w:rsid w:val="006F6DF7"/>
    <w:rsid w:val="00703652"/>
    <w:rsid w:val="00703846"/>
    <w:rsid w:val="007048B4"/>
    <w:rsid w:val="00705D67"/>
    <w:rsid w:val="00705DD5"/>
    <w:rsid w:val="00706242"/>
    <w:rsid w:val="00706D53"/>
    <w:rsid w:val="00706DC6"/>
    <w:rsid w:val="007108A5"/>
    <w:rsid w:val="0071130C"/>
    <w:rsid w:val="0071134A"/>
    <w:rsid w:val="00711D74"/>
    <w:rsid w:val="0071343B"/>
    <w:rsid w:val="007140E3"/>
    <w:rsid w:val="00714551"/>
    <w:rsid w:val="00714FCF"/>
    <w:rsid w:val="00715136"/>
    <w:rsid w:val="007151C4"/>
    <w:rsid w:val="00715C43"/>
    <w:rsid w:val="00716D57"/>
    <w:rsid w:val="00717338"/>
    <w:rsid w:val="0071785B"/>
    <w:rsid w:val="00717A91"/>
    <w:rsid w:val="00721285"/>
    <w:rsid w:val="00722B34"/>
    <w:rsid w:val="00724159"/>
    <w:rsid w:val="00724C69"/>
    <w:rsid w:val="00724CC0"/>
    <w:rsid w:val="00725BFE"/>
    <w:rsid w:val="00725C96"/>
    <w:rsid w:val="00730F7C"/>
    <w:rsid w:val="0073101F"/>
    <w:rsid w:val="00731D6F"/>
    <w:rsid w:val="007320BC"/>
    <w:rsid w:val="007324B6"/>
    <w:rsid w:val="00732528"/>
    <w:rsid w:val="00732F89"/>
    <w:rsid w:val="007331B8"/>
    <w:rsid w:val="007345DE"/>
    <w:rsid w:val="007346BC"/>
    <w:rsid w:val="00735544"/>
    <w:rsid w:val="00737234"/>
    <w:rsid w:val="00740333"/>
    <w:rsid w:val="00741FA1"/>
    <w:rsid w:val="00742E4C"/>
    <w:rsid w:val="0074472E"/>
    <w:rsid w:val="00744BDF"/>
    <w:rsid w:val="0074515A"/>
    <w:rsid w:val="007459F8"/>
    <w:rsid w:val="00750138"/>
    <w:rsid w:val="00750FA1"/>
    <w:rsid w:val="00751D13"/>
    <w:rsid w:val="00752292"/>
    <w:rsid w:val="0075416F"/>
    <w:rsid w:val="00754575"/>
    <w:rsid w:val="00755C5E"/>
    <w:rsid w:val="00755E19"/>
    <w:rsid w:val="00755F7D"/>
    <w:rsid w:val="0075618A"/>
    <w:rsid w:val="007578E4"/>
    <w:rsid w:val="00761874"/>
    <w:rsid w:val="0076211E"/>
    <w:rsid w:val="00763949"/>
    <w:rsid w:val="007641F5"/>
    <w:rsid w:val="0076488F"/>
    <w:rsid w:val="0076654C"/>
    <w:rsid w:val="0076658D"/>
    <w:rsid w:val="00770C3E"/>
    <w:rsid w:val="00770FEA"/>
    <w:rsid w:val="00772728"/>
    <w:rsid w:val="007738E9"/>
    <w:rsid w:val="00774621"/>
    <w:rsid w:val="00774743"/>
    <w:rsid w:val="0077676C"/>
    <w:rsid w:val="0077793D"/>
    <w:rsid w:val="007815F6"/>
    <w:rsid w:val="00784EFB"/>
    <w:rsid w:val="0078542B"/>
    <w:rsid w:val="007868B3"/>
    <w:rsid w:val="0079048E"/>
    <w:rsid w:val="007922A8"/>
    <w:rsid w:val="0079512A"/>
    <w:rsid w:val="00797202"/>
    <w:rsid w:val="007A0A30"/>
    <w:rsid w:val="007A14B4"/>
    <w:rsid w:val="007A30EB"/>
    <w:rsid w:val="007A4F8E"/>
    <w:rsid w:val="007A59CF"/>
    <w:rsid w:val="007A6485"/>
    <w:rsid w:val="007A7EF0"/>
    <w:rsid w:val="007B1502"/>
    <w:rsid w:val="007B27CB"/>
    <w:rsid w:val="007B3D8B"/>
    <w:rsid w:val="007B43D1"/>
    <w:rsid w:val="007B53BC"/>
    <w:rsid w:val="007B543F"/>
    <w:rsid w:val="007B5753"/>
    <w:rsid w:val="007B72CB"/>
    <w:rsid w:val="007B78FF"/>
    <w:rsid w:val="007C02FD"/>
    <w:rsid w:val="007C0D06"/>
    <w:rsid w:val="007C0E16"/>
    <w:rsid w:val="007C1301"/>
    <w:rsid w:val="007C1566"/>
    <w:rsid w:val="007C29D1"/>
    <w:rsid w:val="007C2D1A"/>
    <w:rsid w:val="007C51E9"/>
    <w:rsid w:val="007C5E9B"/>
    <w:rsid w:val="007C7036"/>
    <w:rsid w:val="007D088C"/>
    <w:rsid w:val="007D1E89"/>
    <w:rsid w:val="007D266B"/>
    <w:rsid w:val="007D316C"/>
    <w:rsid w:val="007D4F04"/>
    <w:rsid w:val="007D63ED"/>
    <w:rsid w:val="007D68FD"/>
    <w:rsid w:val="007D7BE3"/>
    <w:rsid w:val="007E2E0A"/>
    <w:rsid w:val="007E3BE9"/>
    <w:rsid w:val="007E50B9"/>
    <w:rsid w:val="007E7B4B"/>
    <w:rsid w:val="007F0431"/>
    <w:rsid w:val="007F0910"/>
    <w:rsid w:val="007F2F41"/>
    <w:rsid w:val="007F33A7"/>
    <w:rsid w:val="007F3905"/>
    <w:rsid w:val="007F497A"/>
    <w:rsid w:val="007F5B01"/>
    <w:rsid w:val="00800138"/>
    <w:rsid w:val="00800563"/>
    <w:rsid w:val="00801316"/>
    <w:rsid w:val="00802371"/>
    <w:rsid w:val="00802DA6"/>
    <w:rsid w:val="0080306A"/>
    <w:rsid w:val="00803C39"/>
    <w:rsid w:val="00803F08"/>
    <w:rsid w:val="0080444A"/>
    <w:rsid w:val="00804B28"/>
    <w:rsid w:val="00805A48"/>
    <w:rsid w:val="00807E5B"/>
    <w:rsid w:val="0081184C"/>
    <w:rsid w:val="00811D72"/>
    <w:rsid w:val="00813270"/>
    <w:rsid w:val="0081364B"/>
    <w:rsid w:val="00814235"/>
    <w:rsid w:val="00814FEC"/>
    <w:rsid w:val="00817C9A"/>
    <w:rsid w:val="00817E61"/>
    <w:rsid w:val="00820982"/>
    <w:rsid w:val="008215D6"/>
    <w:rsid w:val="00821802"/>
    <w:rsid w:val="00821AFA"/>
    <w:rsid w:val="00832002"/>
    <w:rsid w:val="00832956"/>
    <w:rsid w:val="00832BCF"/>
    <w:rsid w:val="00832ED0"/>
    <w:rsid w:val="00833931"/>
    <w:rsid w:val="00834380"/>
    <w:rsid w:val="008352FD"/>
    <w:rsid w:val="00836027"/>
    <w:rsid w:val="00840F1E"/>
    <w:rsid w:val="00842812"/>
    <w:rsid w:val="008430F8"/>
    <w:rsid w:val="00843348"/>
    <w:rsid w:val="00843EF5"/>
    <w:rsid w:val="00844426"/>
    <w:rsid w:val="0084496E"/>
    <w:rsid w:val="008463A7"/>
    <w:rsid w:val="00850391"/>
    <w:rsid w:val="0085114C"/>
    <w:rsid w:val="008538E7"/>
    <w:rsid w:val="00855A5A"/>
    <w:rsid w:val="00857618"/>
    <w:rsid w:val="00857BC5"/>
    <w:rsid w:val="00857CE1"/>
    <w:rsid w:val="0086147F"/>
    <w:rsid w:val="00861BD8"/>
    <w:rsid w:val="00863335"/>
    <w:rsid w:val="008642CF"/>
    <w:rsid w:val="0086511C"/>
    <w:rsid w:val="00865975"/>
    <w:rsid w:val="008663D3"/>
    <w:rsid w:val="008664CD"/>
    <w:rsid w:val="00867EB0"/>
    <w:rsid w:val="008721B6"/>
    <w:rsid w:val="00873E83"/>
    <w:rsid w:val="00873F41"/>
    <w:rsid w:val="008743E4"/>
    <w:rsid w:val="00874AFC"/>
    <w:rsid w:val="00876E14"/>
    <w:rsid w:val="00881B95"/>
    <w:rsid w:val="008824A9"/>
    <w:rsid w:val="0088349C"/>
    <w:rsid w:val="008843D7"/>
    <w:rsid w:val="00885055"/>
    <w:rsid w:val="008850C6"/>
    <w:rsid w:val="00887E9F"/>
    <w:rsid w:val="008902D6"/>
    <w:rsid w:val="008906D9"/>
    <w:rsid w:val="00891875"/>
    <w:rsid w:val="00892054"/>
    <w:rsid w:val="00894C3D"/>
    <w:rsid w:val="00894F93"/>
    <w:rsid w:val="00896986"/>
    <w:rsid w:val="0089698A"/>
    <w:rsid w:val="008A097D"/>
    <w:rsid w:val="008A0E25"/>
    <w:rsid w:val="008A15B4"/>
    <w:rsid w:val="008A343D"/>
    <w:rsid w:val="008A686F"/>
    <w:rsid w:val="008A688C"/>
    <w:rsid w:val="008B0648"/>
    <w:rsid w:val="008B1DB8"/>
    <w:rsid w:val="008B2A17"/>
    <w:rsid w:val="008B4A4E"/>
    <w:rsid w:val="008B4B85"/>
    <w:rsid w:val="008B7128"/>
    <w:rsid w:val="008C08E4"/>
    <w:rsid w:val="008C0A98"/>
    <w:rsid w:val="008C290D"/>
    <w:rsid w:val="008C3072"/>
    <w:rsid w:val="008C3441"/>
    <w:rsid w:val="008C429C"/>
    <w:rsid w:val="008C581E"/>
    <w:rsid w:val="008C7A69"/>
    <w:rsid w:val="008D102B"/>
    <w:rsid w:val="008D165D"/>
    <w:rsid w:val="008D19A5"/>
    <w:rsid w:val="008D3587"/>
    <w:rsid w:val="008D5281"/>
    <w:rsid w:val="008D62FA"/>
    <w:rsid w:val="008D693C"/>
    <w:rsid w:val="008D77D4"/>
    <w:rsid w:val="008E307E"/>
    <w:rsid w:val="008E535F"/>
    <w:rsid w:val="008E769D"/>
    <w:rsid w:val="008F06B7"/>
    <w:rsid w:val="008F193C"/>
    <w:rsid w:val="008F2276"/>
    <w:rsid w:val="008F3507"/>
    <w:rsid w:val="008F3D86"/>
    <w:rsid w:val="008F4E82"/>
    <w:rsid w:val="008F51DE"/>
    <w:rsid w:val="008F534D"/>
    <w:rsid w:val="008F6245"/>
    <w:rsid w:val="008F6769"/>
    <w:rsid w:val="008F6920"/>
    <w:rsid w:val="00901BCB"/>
    <w:rsid w:val="00902557"/>
    <w:rsid w:val="00903B8F"/>
    <w:rsid w:val="00904B87"/>
    <w:rsid w:val="009109F3"/>
    <w:rsid w:val="0091241E"/>
    <w:rsid w:val="009129D8"/>
    <w:rsid w:val="00912EFE"/>
    <w:rsid w:val="00913945"/>
    <w:rsid w:val="00915BAD"/>
    <w:rsid w:val="0091609A"/>
    <w:rsid w:val="00916E2B"/>
    <w:rsid w:val="00921927"/>
    <w:rsid w:val="00921DE1"/>
    <w:rsid w:val="0092273A"/>
    <w:rsid w:val="00925013"/>
    <w:rsid w:val="00927A6E"/>
    <w:rsid w:val="00930F6E"/>
    <w:rsid w:val="009314A0"/>
    <w:rsid w:val="00932452"/>
    <w:rsid w:val="00932A1A"/>
    <w:rsid w:val="00932D57"/>
    <w:rsid w:val="009339F0"/>
    <w:rsid w:val="0093445B"/>
    <w:rsid w:val="009361FB"/>
    <w:rsid w:val="00936684"/>
    <w:rsid w:val="00937011"/>
    <w:rsid w:val="0094010A"/>
    <w:rsid w:val="00941D01"/>
    <w:rsid w:val="009422B0"/>
    <w:rsid w:val="0094276F"/>
    <w:rsid w:val="0094346B"/>
    <w:rsid w:val="00943B10"/>
    <w:rsid w:val="00945989"/>
    <w:rsid w:val="00946C11"/>
    <w:rsid w:val="009474B2"/>
    <w:rsid w:val="009500E4"/>
    <w:rsid w:val="00953375"/>
    <w:rsid w:val="009541B9"/>
    <w:rsid w:val="00956333"/>
    <w:rsid w:val="0095633D"/>
    <w:rsid w:val="00956DAF"/>
    <w:rsid w:val="009572DA"/>
    <w:rsid w:val="00962F0F"/>
    <w:rsid w:val="00963990"/>
    <w:rsid w:val="00964049"/>
    <w:rsid w:val="00965A0A"/>
    <w:rsid w:val="00965C8C"/>
    <w:rsid w:val="009701FA"/>
    <w:rsid w:val="009708AB"/>
    <w:rsid w:val="0097134C"/>
    <w:rsid w:val="00971B48"/>
    <w:rsid w:val="009720C5"/>
    <w:rsid w:val="009728D1"/>
    <w:rsid w:val="00973470"/>
    <w:rsid w:val="0097358D"/>
    <w:rsid w:val="009736D7"/>
    <w:rsid w:val="00975F4D"/>
    <w:rsid w:val="00980096"/>
    <w:rsid w:val="009803B0"/>
    <w:rsid w:val="00981BB0"/>
    <w:rsid w:val="0098210D"/>
    <w:rsid w:val="0098252D"/>
    <w:rsid w:val="009847D8"/>
    <w:rsid w:val="00984F92"/>
    <w:rsid w:val="0098574E"/>
    <w:rsid w:val="009905C9"/>
    <w:rsid w:val="00991241"/>
    <w:rsid w:val="00991FBE"/>
    <w:rsid w:val="009929CA"/>
    <w:rsid w:val="00993942"/>
    <w:rsid w:val="00994781"/>
    <w:rsid w:val="00994AEC"/>
    <w:rsid w:val="009A299D"/>
    <w:rsid w:val="009A2EF7"/>
    <w:rsid w:val="009A40F6"/>
    <w:rsid w:val="009A515E"/>
    <w:rsid w:val="009A5351"/>
    <w:rsid w:val="009A544E"/>
    <w:rsid w:val="009A5F83"/>
    <w:rsid w:val="009B251E"/>
    <w:rsid w:val="009B25B4"/>
    <w:rsid w:val="009B29A9"/>
    <w:rsid w:val="009B2E1F"/>
    <w:rsid w:val="009B5D79"/>
    <w:rsid w:val="009B6844"/>
    <w:rsid w:val="009C07F8"/>
    <w:rsid w:val="009C1C6D"/>
    <w:rsid w:val="009C23E5"/>
    <w:rsid w:val="009C3139"/>
    <w:rsid w:val="009C3B35"/>
    <w:rsid w:val="009C4ACD"/>
    <w:rsid w:val="009C6953"/>
    <w:rsid w:val="009C741C"/>
    <w:rsid w:val="009D1F74"/>
    <w:rsid w:val="009D2517"/>
    <w:rsid w:val="009D5572"/>
    <w:rsid w:val="009D5DDE"/>
    <w:rsid w:val="009D714C"/>
    <w:rsid w:val="009E179F"/>
    <w:rsid w:val="009E2678"/>
    <w:rsid w:val="009E444D"/>
    <w:rsid w:val="009E4BE7"/>
    <w:rsid w:val="009E6104"/>
    <w:rsid w:val="009F1501"/>
    <w:rsid w:val="009F182E"/>
    <w:rsid w:val="009F1D73"/>
    <w:rsid w:val="009F302E"/>
    <w:rsid w:val="009F35D2"/>
    <w:rsid w:val="009F4F79"/>
    <w:rsid w:val="009F50FC"/>
    <w:rsid w:val="009F53C1"/>
    <w:rsid w:val="00A00271"/>
    <w:rsid w:val="00A0177A"/>
    <w:rsid w:val="00A03777"/>
    <w:rsid w:val="00A0492B"/>
    <w:rsid w:val="00A05DFB"/>
    <w:rsid w:val="00A065B7"/>
    <w:rsid w:val="00A07EB2"/>
    <w:rsid w:val="00A1001A"/>
    <w:rsid w:val="00A10076"/>
    <w:rsid w:val="00A1069A"/>
    <w:rsid w:val="00A11D46"/>
    <w:rsid w:val="00A122CA"/>
    <w:rsid w:val="00A13A6A"/>
    <w:rsid w:val="00A14DEA"/>
    <w:rsid w:val="00A150D6"/>
    <w:rsid w:val="00A15EB1"/>
    <w:rsid w:val="00A16321"/>
    <w:rsid w:val="00A16763"/>
    <w:rsid w:val="00A16A44"/>
    <w:rsid w:val="00A177C6"/>
    <w:rsid w:val="00A20921"/>
    <w:rsid w:val="00A20D6C"/>
    <w:rsid w:val="00A210F5"/>
    <w:rsid w:val="00A22C80"/>
    <w:rsid w:val="00A236ED"/>
    <w:rsid w:val="00A23CC4"/>
    <w:rsid w:val="00A2523C"/>
    <w:rsid w:val="00A26571"/>
    <w:rsid w:val="00A27226"/>
    <w:rsid w:val="00A27CB3"/>
    <w:rsid w:val="00A30B2F"/>
    <w:rsid w:val="00A33949"/>
    <w:rsid w:val="00A3397D"/>
    <w:rsid w:val="00A3597B"/>
    <w:rsid w:val="00A37F10"/>
    <w:rsid w:val="00A410C4"/>
    <w:rsid w:val="00A41D59"/>
    <w:rsid w:val="00A44BD5"/>
    <w:rsid w:val="00A4551C"/>
    <w:rsid w:val="00A46837"/>
    <w:rsid w:val="00A46C7D"/>
    <w:rsid w:val="00A46DFD"/>
    <w:rsid w:val="00A47139"/>
    <w:rsid w:val="00A4784E"/>
    <w:rsid w:val="00A47AAD"/>
    <w:rsid w:val="00A50D4B"/>
    <w:rsid w:val="00A51075"/>
    <w:rsid w:val="00A52148"/>
    <w:rsid w:val="00A5230A"/>
    <w:rsid w:val="00A52EFA"/>
    <w:rsid w:val="00A52FE0"/>
    <w:rsid w:val="00A5302F"/>
    <w:rsid w:val="00A530FA"/>
    <w:rsid w:val="00A5313B"/>
    <w:rsid w:val="00A53369"/>
    <w:rsid w:val="00A541EE"/>
    <w:rsid w:val="00A56891"/>
    <w:rsid w:val="00A61C87"/>
    <w:rsid w:val="00A6217F"/>
    <w:rsid w:val="00A62336"/>
    <w:rsid w:val="00A644A5"/>
    <w:rsid w:val="00A64C25"/>
    <w:rsid w:val="00A65E2F"/>
    <w:rsid w:val="00A66BC3"/>
    <w:rsid w:val="00A67429"/>
    <w:rsid w:val="00A70058"/>
    <w:rsid w:val="00A704E0"/>
    <w:rsid w:val="00A7186A"/>
    <w:rsid w:val="00A7287A"/>
    <w:rsid w:val="00A74876"/>
    <w:rsid w:val="00A74CE6"/>
    <w:rsid w:val="00A74D1E"/>
    <w:rsid w:val="00A7568C"/>
    <w:rsid w:val="00A760D4"/>
    <w:rsid w:val="00A760DC"/>
    <w:rsid w:val="00A812CF"/>
    <w:rsid w:val="00A83430"/>
    <w:rsid w:val="00A83635"/>
    <w:rsid w:val="00A83762"/>
    <w:rsid w:val="00A83DBB"/>
    <w:rsid w:val="00A85EA3"/>
    <w:rsid w:val="00A87801"/>
    <w:rsid w:val="00A87A1A"/>
    <w:rsid w:val="00A90662"/>
    <w:rsid w:val="00A90D72"/>
    <w:rsid w:val="00A919BE"/>
    <w:rsid w:val="00A930D3"/>
    <w:rsid w:val="00A933D9"/>
    <w:rsid w:val="00A94B6C"/>
    <w:rsid w:val="00A95633"/>
    <w:rsid w:val="00A95862"/>
    <w:rsid w:val="00A96625"/>
    <w:rsid w:val="00A9726B"/>
    <w:rsid w:val="00AA0296"/>
    <w:rsid w:val="00AA2F8D"/>
    <w:rsid w:val="00AA3003"/>
    <w:rsid w:val="00AA4549"/>
    <w:rsid w:val="00AA51A4"/>
    <w:rsid w:val="00AA6BA3"/>
    <w:rsid w:val="00AA72F7"/>
    <w:rsid w:val="00AA7765"/>
    <w:rsid w:val="00AA7F08"/>
    <w:rsid w:val="00AB0117"/>
    <w:rsid w:val="00AB01FD"/>
    <w:rsid w:val="00AB0EDE"/>
    <w:rsid w:val="00AB3327"/>
    <w:rsid w:val="00AB3492"/>
    <w:rsid w:val="00AB36C1"/>
    <w:rsid w:val="00AB4B9F"/>
    <w:rsid w:val="00AB4C62"/>
    <w:rsid w:val="00AC1529"/>
    <w:rsid w:val="00AC1BD1"/>
    <w:rsid w:val="00AC1D50"/>
    <w:rsid w:val="00AC2637"/>
    <w:rsid w:val="00AC2AC3"/>
    <w:rsid w:val="00AC3A3F"/>
    <w:rsid w:val="00AC3C38"/>
    <w:rsid w:val="00AC4B90"/>
    <w:rsid w:val="00AC60D8"/>
    <w:rsid w:val="00AC6539"/>
    <w:rsid w:val="00AC6B41"/>
    <w:rsid w:val="00AC7A5F"/>
    <w:rsid w:val="00AD04BC"/>
    <w:rsid w:val="00AD0BB9"/>
    <w:rsid w:val="00AD1BB1"/>
    <w:rsid w:val="00AD1D22"/>
    <w:rsid w:val="00AD2042"/>
    <w:rsid w:val="00AD2306"/>
    <w:rsid w:val="00AD29FA"/>
    <w:rsid w:val="00AD2FB7"/>
    <w:rsid w:val="00AD41F6"/>
    <w:rsid w:val="00AD4663"/>
    <w:rsid w:val="00AD4D70"/>
    <w:rsid w:val="00AD5B96"/>
    <w:rsid w:val="00AE1486"/>
    <w:rsid w:val="00AE1F3F"/>
    <w:rsid w:val="00AE53C7"/>
    <w:rsid w:val="00AE5A1D"/>
    <w:rsid w:val="00AE6BDF"/>
    <w:rsid w:val="00AE6C1D"/>
    <w:rsid w:val="00AE7D12"/>
    <w:rsid w:val="00AF0D82"/>
    <w:rsid w:val="00AF1DA6"/>
    <w:rsid w:val="00AF59B1"/>
    <w:rsid w:val="00AF7159"/>
    <w:rsid w:val="00AF7ABB"/>
    <w:rsid w:val="00B00A43"/>
    <w:rsid w:val="00B00E70"/>
    <w:rsid w:val="00B00F0B"/>
    <w:rsid w:val="00B01F10"/>
    <w:rsid w:val="00B02480"/>
    <w:rsid w:val="00B0372E"/>
    <w:rsid w:val="00B0574E"/>
    <w:rsid w:val="00B06CCF"/>
    <w:rsid w:val="00B06E29"/>
    <w:rsid w:val="00B07DD6"/>
    <w:rsid w:val="00B1055B"/>
    <w:rsid w:val="00B10E9F"/>
    <w:rsid w:val="00B13BCB"/>
    <w:rsid w:val="00B1460E"/>
    <w:rsid w:val="00B160C2"/>
    <w:rsid w:val="00B1626B"/>
    <w:rsid w:val="00B16705"/>
    <w:rsid w:val="00B172E8"/>
    <w:rsid w:val="00B20A8F"/>
    <w:rsid w:val="00B20DA9"/>
    <w:rsid w:val="00B2294B"/>
    <w:rsid w:val="00B235FB"/>
    <w:rsid w:val="00B25AC4"/>
    <w:rsid w:val="00B26224"/>
    <w:rsid w:val="00B264A6"/>
    <w:rsid w:val="00B26818"/>
    <w:rsid w:val="00B26970"/>
    <w:rsid w:val="00B2771E"/>
    <w:rsid w:val="00B278A4"/>
    <w:rsid w:val="00B30505"/>
    <w:rsid w:val="00B30A98"/>
    <w:rsid w:val="00B31F9B"/>
    <w:rsid w:val="00B32E8E"/>
    <w:rsid w:val="00B32FBE"/>
    <w:rsid w:val="00B34302"/>
    <w:rsid w:val="00B34761"/>
    <w:rsid w:val="00B34C99"/>
    <w:rsid w:val="00B362E1"/>
    <w:rsid w:val="00B371DD"/>
    <w:rsid w:val="00B37E35"/>
    <w:rsid w:val="00B41B37"/>
    <w:rsid w:val="00B447FB"/>
    <w:rsid w:val="00B46AEB"/>
    <w:rsid w:val="00B47B87"/>
    <w:rsid w:val="00B47C53"/>
    <w:rsid w:val="00B50092"/>
    <w:rsid w:val="00B50670"/>
    <w:rsid w:val="00B50AE9"/>
    <w:rsid w:val="00B50EC8"/>
    <w:rsid w:val="00B5107F"/>
    <w:rsid w:val="00B51104"/>
    <w:rsid w:val="00B51D3F"/>
    <w:rsid w:val="00B52088"/>
    <w:rsid w:val="00B55300"/>
    <w:rsid w:val="00B578B3"/>
    <w:rsid w:val="00B57D74"/>
    <w:rsid w:val="00B60216"/>
    <w:rsid w:val="00B606BF"/>
    <w:rsid w:val="00B62638"/>
    <w:rsid w:val="00B62824"/>
    <w:rsid w:val="00B63886"/>
    <w:rsid w:val="00B64181"/>
    <w:rsid w:val="00B64421"/>
    <w:rsid w:val="00B64690"/>
    <w:rsid w:val="00B6480F"/>
    <w:rsid w:val="00B65CAE"/>
    <w:rsid w:val="00B660A5"/>
    <w:rsid w:val="00B667B1"/>
    <w:rsid w:val="00B6684E"/>
    <w:rsid w:val="00B67E96"/>
    <w:rsid w:val="00B718F1"/>
    <w:rsid w:val="00B73C8A"/>
    <w:rsid w:val="00B73DF9"/>
    <w:rsid w:val="00B743A7"/>
    <w:rsid w:val="00B745C4"/>
    <w:rsid w:val="00B74B38"/>
    <w:rsid w:val="00B760C7"/>
    <w:rsid w:val="00B76224"/>
    <w:rsid w:val="00B77C54"/>
    <w:rsid w:val="00B77EFC"/>
    <w:rsid w:val="00B77F8A"/>
    <w:rsid w:val="00B81985"/>
    <w:rsid w:val="00B82F6E"/>
    <w:rsid w:val="00B83D68"/>
    <w:rsid w:val="00B85783"/>
    <w:rsid w:val="00B87C5E"/>
    <w:rsid w:val="00B9104C"/>
    <w:rsid w:val="00B91524"/>
    <w:rsid w:val="00B9157D"/>
    <w:rsid w:val="00B91586"/>
    <w:rsid w:val="00B91CFB"/>
    <w:rsid w:val="00B923DD"/>
    <w:rsid w:val="00B94007"/>
    <w:rsid w:val="00B94274"/>
    <w:rsid w:val="00BA00A4"/>
    <w:rsid w:val="00BA0C49"/>
    <w:rsid w:val="00BA3926"/>
    <w:rsid w:val="00BA4BB5"/>
    <w:rsid w:val="00BA67EC"/>
    <w:rsid w:val="00BA68EE"/>
    <w:rsid w:val="00BB1E9B"/>
    <w:rsid w:val="00BB471D"/>
    <w:rsid w:val="00BB4A45"/>
    <w:rsid w:val="00BC0605"/>
    <w:rsid w:val="00BC28B1"/>
    <w:rsid w:val="00BC2E60"/>
    <w:rsid w:val="00BC5F53"/>
    <w:rsid w:val="00BC5FC1"/>
    <w:rsid w:val="00BC6F17"/>
    <w:rsid w:val="00BD2747"/>
    <w:rsid w:val="00BD3566"/>
    <w:rsid w:val="00BD56F2"/>
    <w:rsid w:val="00BD6E9D"/>
    <w:rsid w:val="00BD6FD1"/>
    <w:rsid w:val="00BD72F5"/>
    <w:rsid w:val="00BE007D"/>
    <w:rsid w:val="00BE24E1"/>
    <w:rsid w:val="00BE4554"/>
    <w:rsid w:val="00BE46A5"/>
    <w:rsid w:val="00BE4784"/>
    <w:rsid w:val="00BE479E"/>
    <w:rsid w:val="00BE5F05"/>
    <w:rsid w:val="00BE605D"/>
    <w:rsid w:val="00BE69D8"/>
    <w:rsid w:val="00BE71C6"/>
    <w:rsid w:val="00BF03F9"/>
    <w:rsid w:val="00BF0A18"/>
    <w:rsid w:val="00BF2A44"/>
    <w:rsid w:val="00BF40B0"/>
    <w:rsid w:val="00BF4803"/>
    <w:rsid w:val="00BF544F"/>
    <w:rsid w:val="00BF779C"/>
    <w:rsid w:val="00BF7CEE"/>
    <w:rsid w:val="00C02588"/>
    <w:rsid w:val="00C0292D"/>
    <w:rsid w:val="00C034C2"/>
    <w:rsid w:val="00C035F8"/>
    <w:rsid w:val="00C04132"/>
    <w:rsid w:val="00C07330"/>
    <w:rsid w:val="00C07FD2"/>
    <w:rsid w:val="00C10697"/>
    <w:rsid w:val="00C123C7"/>
    <w:rsid w:val="00C141E6"/>
    <w:rsid w:val="00C14760"/>
    <w:rsid w:val="00C1491F"/>
    <w:rsid w:val="00C14B8F"/>
    <w:rsid w:val="00C15CCF"/>
    <w:rsid w:val="00C177A0"/>
    <w:rsid w:val="00C202B5"/>
    <w:rsid w:val="00C2221A"/>
    <w:rsid w:val="00C23CB9"/>
    <w:rsid w:val="00C2536B"/>
    <w:rsid w:val="00C3065A"/>
    <w:rsid w:val="00C30B40"/>
    <w:rsid w:val="00C30B4A"/>
    <w:rsid w:val="00C30D29"/>
    <w:rsid w:val="00C33E24"/>
    <w:rsid w:val="00C35C48"/>
    <w:rsid w:val="00C35F4A"/>
    <w:rsid w:val="00C37FFB"/>
    <w:rsid w:val="00C41564"/>
    <w:rsid w:val="00C41613"/>
    <w:rsid w:val="00C418D7"/>
    <w:rsid w:val="00C439D2"/>
    <w:rsid w:val="00C4533D"/>
    <w:rsid w:val="00C457B7"/>
    <w:rsid w:val="00C4581B"/>
    <w:rsid w:val="00C4583D"/>
    <w:rsid w:val="00C47424"/>
    <w:rsid w:val="00C47CCC"/>
    <w:rsid w:val="00C50992"/>
    <w:rsid w:val="00C50AFB"/>
    <w:rsid w:val="00C52E81"/>
    <w:rsid w:val="00C537F2"/>
    <w:rsid w:val="00C53BB1"/>
    <w:rsid w:val="00C54CBE"/>
    <w:rsid w:val="00C56488"/>
    <w:rsid w:val="00C575CD"/>
    <w:rsid w:val="00C60295"/>
    <w:rsid w:val="00C6050F"/>
    <w:rsid w:val="00C60D11"/>
    <w:rsid w:val="00C63BE5"/>
    <w:rsid w:val="00C65316"/>
    <w:rsid w:val="00C65348"/>
    <w:rsid w:val="00C670D8"/>
    <w:rsid w:val="00C67112"/>
    <w:rsid w:val="00C71315"/>
    <w:rsid w:val="00C71D1D"/>
    <w:rsid w:val="00C743F8"/>
    <w:rsid w:val="00C7452F"/>
    <w:rsid w:val="00C7471B"/>
    <w:rsid w:val="00C77C71"/>
    <w:rsid w:val="00C77E07"/>
    <w:rsid w:val="00C80879"/>
    <w:rsid w:val="00C81E95"/>
    <w:rsid w:val="00C820E8"/>
    <w:rsid w:val="00C82D9D"/>
    <w:rsid w:val="00C83260"/>
    <w:rsid w:val="00C840D2"/>
    <w:rsid w:val="00C84C55"/>
    <w:rsid w:val="00C85586"/>
    <w:rsid w:val="00C85D2F"/>
    <w:rsid w:val="00C85EA0"/>
    <w:rsid w:val="00C8630A"/>
    <w:rsid w:val="00C87487"/>
    <w:rsid w:val="00C876D1"/>
    <w:rsid w:val="00C91F1C"/>
    <w:rsid w:val="00C92B59"/>
    <w:rsid w:val="00C93DD3"/>
    <w:rsid w:val="00C9458A"/>
    <w:rsid w:val="00C9488B"/>
    <w:rsid w:val="00C94A2F"/>
    <w:rsid w:val="00C952D5"/>
    <w:rsid w:val="00C97736"/>
    <w:rsid w:val="00CA0412"/>
    <w:rsid w:val="00CA121D"/>
    <w:rsid w:val="00CA1D75"/>
    <w:rsid w:val="00CA1EA4"/>
    <w:rsid w:val="00CA31CC"/>
    <w:rsid w:val="00CA38E5"/>
    <w:rsid w:val="00CA55EC"/>
    <w:rsid w:val="00CA74F8"/>
    <w:rsid w:val="00CB1744"/>
    <w:rsid w:val="00CB17DA"/>
    <w:rsid w:val="00CB1E9E"/>
    <w:rsid w:val="00CB2637"/>
    <w:rsid w:val="00CB3537"/>
    <w:rsid w:val="00CB6928"/>
    <w:rsid w:val="00CB6DC7"/>
    <w:rsid w:val="00CB754B"/>
    <w:rsid w:val="00CC0CCF"/>
    <w:rsid w:val="00CC0E9B"/>
    <w:rsid w:val="00CC190D"/>
    <w:rsid w:val="00CC2F5A"/>
    <w:rsid w:val="00CC399E"/>
    <w:rsid w:val="00CC4EAA"/>
    <w:rsid w:val="00CC519C"/>
    <w:rsid w:val="00CC7224"/>
    <w:rsid w:val="00CD1628"/>
    <w:rsid w:val="00CD1BF6"/>
    <w:rsid w:val="00CD2581"/>
    <w:rsid w:val="00CD3704"/>
    <w:rsid w:val="00CD4939"/>
    <w:rsid w:val="00CD4EC0"/>
    <w:rsid w:val="00CD5173"/>
    <w:rsid w:val="00CD6360"/>
    <w:rsid w:val="00CD63D8"/>
    <w:rsid w:val="00CD6414"/>
    <w:rsid w:val="00CD6A5F"/>
    <w:rsid w:val="00CD7DD3"/>
    <w:rsid w:val="00CE051D"/>
    <w:rsid w:val="00CE3056"/>
    <w:rsid w:val="00CE3186"/>
    <w:rsid w:val="00CE6710"/>
    <w:rsid w:val="00CF003A"/>
    <w:rsid w:val="00CF00FD"/>
    <w:rsid w:val="00CF0A5C"/>
    <w:rsid w:val="00CF0F80"/>
    <w:rsid w:val="00CF1263"/>
    <w:rsid w:val="00CF20C2"/>
    <w:rsid w:val="00CF2871"/>
    <w:rsid w:val="00CF4C34"/>
    <w:rsid w:val="00CF56AC"/>
    <w:rsid w:val="00CF63AB"/>
    <w:rsid w:val="00D0040D"/>
    <w:rsid w:val="00D00B1D"/>
    <w:rsid w:val="00D02319"/>
    <w:rsid w:val="00D02774"/>
    <w:rsid w:val="00D040C0"/>
    <w:rsid w:val="00D0489B"/>
    <w:rsid w:val="00D05075"/>
    <w:rsid w:val="00D0635D"/>
    <w:rsid w:val="00D064EA"/>
    <w:rsid w:val="00D07989"/>
    <w:rsid w:val="00D122B5"/>
    <w:rsid w:val="00D12540"/>
    <w:rsid w:val="00D12D38"/>
    <w:rsid w:val="00D1363D"/>
    <w:rsid w:val="00D13755"/>
    <w:rsid w:val="00D162B7"/>
    <w:rsid w:val="00D168F5"/>
    <w:rsid w:val="00D2126D"/>
    <w:rsid w:val="00D21B6F"/>
    <w:rsid w:val="00D24E81"/>
    <w:rsid w:val="00D25C45"/>
    <w:rsid w:val="00D26AB6"/>
    <w:rsid w:val="00D26C9C"/>
    <w:rsid w:val="00D272CF"/>
    <w:rsid w:val="00D27AF7"/>
    <w:rsid w:val="00D30AFC"/>
    <w:rsid w:val="00D30EC5"/>
    <w:rsid w:val="00D3128B"/>
    <w:rsid w:val="00D330AF"/>
    <w:rsid w:val="00D354D7"/>
    <w:rsid w:val="00D3612B"/>
    <w:rsid w:val="00D36243"/>
    <w:rsid w:val="00D40508"/>
    <w:rsid w:val="00D40627"/>
    <w:rsid w:val="00D41867"/>
    <w:rsid w:val="00D41D71"/>
    <w:rsid w:val="00D43166"/>
    <w:rsid w:val="00D43827"/>
    <w:rsid w:val="00D443C4"/>
    <w:rsid w:val="00D4468B"/>
    <w:rsid w:val="00D44A9B"/>
    <w:rsid w:val="00D45432"/>
    <w:rsid w:val="00D45C51"/>
    <w:rsid w:val="00D46637"/>
    <w:rsid w:val="00D46DF9"/>
    <w:rsid w:val="00D479E2"/>
    <w:rsid w:val="00D47AE9"/>
    <w:rsid w:val="00D52748"/>
    <w:rsid w:val="00D52B49"/>
    <w:rsid w:val="00D55467"/>
    <w:rsid w:val="00D559C9"/>
    <w:rsid w:val="00D600B4"/>
    <w:rsid w:val="00D60A3A"/>
    <w:rsid w:val="00D62EEC"/>
    <w:rsid w:val="00D631EE"/>
    <w:rsid w:val="00D63E43"/>
    <w:rsid w:val="00D65EB5"/>
    <w:rsid w:val="00D66D6F"/>
    <w:rsid w:val="00D71952"/>
    <w:rsid w:val="00D71E5B"/>
    <w:rsid w:val="00D7210A"/>
    <w:rsid w:val="00D72300"/>
    <w:rsid w:val="00D73529"/>
    <w:rsid w:val="00D73BEA"/>
    <w:rsid w:val="00D73CC9"/>
    <w:rsid w:val="00D76526"/>
    <w:rsid w:val="00D76ECD"/>
    <w:rsid w:val="00D80543"/>
    <w:rsid w:val="00D81393"/>
    <w:rsid w:val="00D8171E"/>
    <w:rsid w:val="00D861C1"/>
    <w:rsid w:val="00D87A9B"/>
    <w:rsid w:val="00D9115B"/>
    <w:rsid w:val="00D912AC"/>
    <w:rsid w:val="00D92B12"/>
    <w:rsid w:val="00D93309"/>
    <w:rsid w:val="00D94C77"/>
    <w:rsid w:val="00D9505D"/>
    <w:rsid w:val="00D964F5"/>
    <w:rsid w:val="00D9689A"/>
    <w:rsid w:val="00D97604"/>
    <w:rsid w:val="00DA0935"/>
    <w:rsid w:val="00DA19DA"/>
    <w:rsid w:val="00DA20B4"/>
    <w:rsid w:val="00DA270A"/>
    <w:rsid w:val="00DA33DE"/>
    <w:rsid w:val="00DA358F"/>
    <w:rsid w:val="00DA5089"/>
    <w:rsid w:val="00DB45FC"/>
    <w:rsid w:val="00DB469D"/>
    <w:rsid w:val="00DB4CE4"/>
    <w:rsid w:val="00DB519D"/>
    <w:rsid w:val="00DB58D3"/>
    <w:rsid w:val="00DB6FC8"/>
    <w:rsid w:val="00DC1124"/>
    <w:rsid w:val="00DC2D05"/>
    <w:rsid w:val="00DC4275"/>
    <w:rsid w:val="00DC478E"/>
    <w:rsid w:val="00DC48D6"/>
    <w:rsid w:val="00DC59C5"/>
    <w:rsid w:val="00DD02A4"/>
    <w:rsid w:val="00DD03C1"/>
    <w:rsid w:val="00DD13DE"/>
    <w:rsid w:val="00DD3922"/>
    <w:rsid w:val="00DD460F"/>
    <w:rsid w:val="00DD479A"/>
    <w:rsid w:val="00DD4943"/>
    <w:rsid w:val="00DD4FA0"/>
    <w:rsid w:val="00DD5C35"/>
    <w:rsid w:val="00DD6C69"/>
    <w:rsid w:val="00DE01FA"/>
    <w:rsid w:val="00DE185C"/>
    <w:rsid w:val="00DE31AF"/>
    <w:rsid w:val="00DE375B"/>
    <w:rsid w:val="00DE3E6D"/>
    <w:rsid w:val="00DE442E"/>
    <w:rsid w:val="00DE571E"/>
    <w:rsid w:val="00DE5989"/>
    <w:rsid w:val="00DE5E2A"/>
    <w:rsid w:val="00DE6BA1"/>
    <w:rsid w:val="00DE6BFA"/>
    <w:rsid w:val="00DF1792"/>
    <w:rsid w:val="00DF25B9"/>
    <w:rsid w:val="00DF2A39"/>
    <w:rsid w:val="00DF3637"/>
    <w:rsid w:val="00DF5119"/>
    <w:rsid w:val="00DF5BAC"/>
    <w:rsid w:val="00DF770D"/>
    <w:rsid w:val="00DF7D4C"/>
    <w:rsid w:val="00E002EC"/>
    <w:rsid w:val="00E00818"/>
    <w:rsid w:val="00E00D6F"/>
    <w:rsid w:val="00E02D88"/>
    <w:rsid w:val="00E043B4"/>
    <w:rsid w:val="00E04485"/>
    <w:rsid w:val="00E046D8"/>
    <w:rsid w:val="00E04F2B"/>
    <w:rsid w:val="00E06F0C"/>
    <w:rsid w:val="00E07187"/>
    <w:rsid w:val="00E07846"/>
    <w:rsid w:val="00E106A3"/>
    <w:rsid w:val="00E11838"/>
    <w:rsid w:val="00E12756"/>
    <w:rsid w:val="00E132E2"/>
    <w:rsid w:val="00E15904"/>
    <w:rsid w:val="00E16785"/>
    <w:rsid w:val="00E16DB9"/>
    <w:rsid w:val="00E17297"/>
    <w:rsid w:val="00E17BF0"/>
    <w:rsid w:val="00E20221"/>
    <w:rsid w:val="00E214DC"/>
    <w:rsid w:val="00E23B88"/>
    <w:rsid w:val="00E25989"/>
    <w:rsid w:val="00E2665D"/>
    <w:rsid w:val="00E30317"/>
    <w:rsid w:val="00E30A52"/>
    <w:rsid w:val="00E30EFA"/>
    <w:rsid w:val="00E31B58"/>
    <w:rsid w:val="00E325A0"/>
    <w:rsid w:val="00E325D2"/>
    <w:rsid w:val="00E32ECB"/>
    <w:rsid w:val="00E33F86"/>
    <w:rsid w:val="00E34174"/>
    <w:rsid w:val="00E3474E"/>
    <w:rsid w:val="00E3492C"/>
    <w:rsid w:val="00E34A89"/>
    <w:rsid w:val="00E35482"/>
    <w:rsid w:val="00E372ED"/>
    <w:rsid w:val="00E3763A"/>
    <w:rsid w:val="00E37CA3"/>
    <w:rsid w:val="00E412D1"/>
    <w:rsid w:val="00E42269"/>
    <w:rsid w:val="00E43655"/>
    <w:rsid w:val="00E43C51"/>
    <w:rsid w:val="00E4559E"/>
    <w:rsid w:val="00E45DD2"/>
    <w:rsid w:val="00E4614E"/>
    <w:rsid w:val="00E465F0"/>
    <w:rsid w:val="00E4660E"/>
    <w:rsid w:val="00E4715A"/>
    <w:rsid w:val="00E50A26"/>
    <w:rsid w:val="00E5147A"/>
    <w:rsid w:val="00E51A1A"/>
    <w:rsid w:val="00E51B3A"/>
    <w:rsid w:val="00E51FA9"/>
    <w:rsid w:val="00E52DD8"/>
    <w:rsid w:val="00E5565C"/>
    <w:rsid w:val="00E55664"/>
    <w:rsid w:val="00E55F79"/>
    <w:rsid w:val="00E56874"/>
    <w:rsid w:val="00E57EBD"/>
    <w:rsid w:val="00E617B3"/>
    <w:rsid w:val="00E625C6"/>
    <w:rsid w:val="00E6296C"/>
    <w:rsid w:val="00E63019"/>
    <w:rsid w:val="00E6313C"/>
    <w:rsid w:val="00E6369F"/>
    <w:rsid w:val="00E66FC9"/>
    <w:rsid w:val="00E67237"/>
    <w:rsid w:val="00E67990"/>
    <w:rsid w:val="00E70F53"/>
    <w:rsid w:val="00E71380"/>
    <w:rsid w:val="00E71C12"/>
    <w:rsid w:val="00E726E8"/>
    <w:rsid w:val="00E727B0"/>
    <w:rsid w:val="00E72A82"/>
    <w:rsid w:val="00E734BE"/>
    <w:rsid w:val="00E76055"/>
    <w:rsid w:val="00E76727"/>
    <w:rsid w:val="00E77D15"/>
    <w:rsid w:val="00E80115"/>
    <w:rsid w:val="00E8071E"/>
    <w:rsid w:val="00E81ED6"/>
    <w:rsid w:val="00E83B9C"/>
    <w:rsid w:val="00E84FF6"/>
    <w:rsid w:val="00E853AB"/>
    <w:rsid w:val="00E854DE"/>
    <w:rsid w:val="00E857EE"/>
    <w:rsid w:val="00E85B06"/>
    <w:rsid w:val="00E85CF0"/>
    <w:rsid w:val="00E86475"/>
    <w:rsid w:val="00E90BD9"/>
    <w:rsid w:val="00E9429B"/>
    <w:rsid w:val="00E948E4"/>
    <w:rsid w:val="00E95FB6"/>
    <w:rsid w:val="00E97861"/>
    <w:rsid w:val="00EA08F5"/>
    <w:rsid w:val="00EA2410"/>
    <w:rsid w:val="00EA2AB7"/>
    <w:rsid w:val="00EA32E6"/>
    <w:rsid w:val="00EA4BD0"/>
    <w:rsid w:val="00EA5F18"/>
    <w:rsid w:val="00EA6CEC"/>
    <w:rsid w:val="00EB17FC"/>
    <w:rsid w:val="00EB2293"/>
    <w:rsid w:val="00EB2859"/>
    <w:rsid w:val="00EB451A"/>
    <w:rsid w:val="00EB5446"/>
    <w:rsid w:val="00EB5572"/>
    <w:rsid w:val="00EC03B0"/>
    <w:rsid w:val="00EC05A9"/>
    <w:rsid w:val="00EC0864"/>
    <w:rsid w:val="00EC0AF5"/>
    <w:rsid w:val="00EC0DA6"/>
    <w:rsid w:val="00EC13FA"/>
    <w:rsid w:val="00EC18A1"/>
    <w:rsid w:val="00EC3320"/>
    <w:rsid w:val="00EC6290"/>
    <w:rsid w:val="00EC72E0"/>
    <w:rsid w:val="00EC74B6"/>
    <w:rsid w:val="00EC7D1B"/>
    <w:rsid w:val="00ED0C65"/>
    <w:rsid w:val="00ED11FA"/>
    <w:rsid w:val="00ED189F"/>
    <w:rsid w:val="00ED284D"/>
    <w:rsid w:val="00ED42B5"/>
    <w:rsid w:val="00ED5953"/>
    <w:rsid w:val="00ED6E1E"/>
    <w:rsid w:val="00ED7E23"/>
    <w:rsid w:val="00EE0189"/>
    <w:rsid w:val="00EE027D"/>
    <w:rsid w:val="00EE05C4"/>
    <w:rsid w:val="00EE1886"/>
    <w:rsid w:val="00EE2282"/>
    <w:rsid w:val="00EE250A"/>
    <w:rsid w:val="00EE262E"/>
    <w:rsid w:val="00EE3CE6"/>
    <w:rsid w:val="00EE5932"/>
    <w:rsid w:val="00EF043A"/>
    <w:rsid w:val="00EF165C"/>
    <w:rsid w:val="00EF19E7"/>
    <w:rsid w:val="00EF2160"/>
    <w:rsid w:val="00EF3B37"/>
    <w:rsid w:val="00EF4DE3"/>
    <w:rsid w:val="00EF4F16"/>
    <w:rsid w:val="00EF60BD"/>
    <w:rsid w:val="00EF6AA6"/>
    <w:rsid w:val="00EF6BBB"/>
    <w:rsid w:val="00EF6E85"/>
    <w:rsid w:val="00F00647"/>
    <w:rsid w:val="00F006F8"/>
    <w:rsid w:val="00F0149B"/>
    <w:rsid w:val="00F02456"/>
    <w:rsid w:val="00F03406"/>
    <w:rsid w:val="00F04433"/>
    <w:rsid w:val="00F04591"/>
    <w:rsid w:val="00F07072"/>
    <w:rsid w:val="00F10455"/>
    <w:rsid w:val="00F13596"/>
    <w:rsid w:val="00F159C6"/>
    <w:rsid w:val="00F161DD"/>
    <w:rsid w:val="00F17305"/>
    <w:rsid w:val="00F20C49"/>
    <w:rsid w:val="00F21821"/>
    <w:rsid w:val="00F23132"/>
    <w:rsid w:val="00F23C86"/>
    <w:rsid w:val="00F24640"/>
    <w:rsid w:val="00F2531D"/>
    <w:rsid w:val="00F26EE4"/>
    <w:rsid w:val="00F27F1C"/>
    <w:rsid w:val="00F31DE8"/>
    <w:rsid w:val="00F32A21"/>
    <w:rsid w:val="00F331E2"/>
    <w:rsid w:val="00F3341D"/>
    <w:rsid w:val="00F33905"/>
    <w:rsid w:val="00F3466A"/>
    <w:rsid w:val="00F364D4"/>
    <w:rsid w:val="00F36F8B"/>
    <w:rsid w:val="00F37365"/>
    <w:rsid w:val="00F374B6"/>
    <w:rsid w:val="00F37578"/>
    <w:rsid w:val="00F408EE"/>
    <w:rsid w:val="00F40C56"/>
    <w:rsid w:val="00F42119"/>
    <w:rsid w:val="00F50609"/>
    <w:rsid w:val="00F5188C"/>
    <w:rsid w:val="00F52ACB"/>
    <w:rsid w:val="00F52C5E"/>
    <w:rsid w:val="00F5317A"/>
    <w:rsid w:val="00F53788"/>
    <w:rsid w:val="00F54174"/>
    <w:rsid w:val="00F55AA5"/>
    <w:rsid w:val="00F55D57"/>
    <w:rsid w:val="00F56301"/>
    <w:rsid w:val="00F564A3"/>
    <w:rsid w:val="00F57695"/>
    <w:rsid w:val="00F57CE7"/>
    <w:rsid w:val="00F60CED"/>
    <w:rsid w:val="00F60F13"/>
    <w:rsid w:val="00F62C4A"/>
    <w:rsid w:val="00F6325D"/>
    <w:rsid w:val="00F64644"/>
    <w:rsid w:val="00F64C9E"/>
    <w:rsid w:val="00F65B8D"/>
    <w:rsid w:val="00F66A18"/>
    <w:rsid w:val="00F71A1F"/>
    <w:rsid w:val="00F72AAB"/>
    <w:rsid w:val="00F72CCD"/>
    <w:rsid w:val="00F72E01"/>
    <w:rsid w:val="00F75059"/>
    <w:rsid w:val="00F75409"/>
    <w:rsid w:val="00F80716"/>
    <w:rsid w:val="00F811A6"/>
    <w:rsid w:val="00F81210"/>
    <w:rsid w:val="00F82209"/>
    <w:rsid w:val="00F829CB"/>
    <w:rsid w:val="00F832EC"/>
    <w:rsid w:val="00F852C8"/>
    <w:rsid w:val="00F85473"/>
    <w:rsid w:val="00F855FA"/>
    <w:rsid w:val="00F86123"/>
    <w:rsid w:val="00F861C7"/>
    <w:rsid w:val="00F863DF"/>
    <w:rsid w:val="00F87DCA"/>
    <w:rsid w:val="00F90E97"/>
    <w:rsid w:val="00F92D4A"/>
    <w:rsid w:val="00F95747"/>
    <w:rsid w:val="00F9669F"/>
    <w:rsid w:val="00F975EE"/>
    <w:rsid w:val="00FA030E"/>
    <w:rsid w:val="00FA0FB6"/>
    <w:rsid w:val="00FA425E"/>
    <w:rsid w:val="00FA42FC"/>
    <w:rsid w:val="00FA6A42"/>
    <w:rsid w:val="00FB009E"/>
    <w:rsid w:val="00FB034F"/>
    <w:rsid w:val="00FB1B68"/>
    <w:rsid w:val="00FB2D43"/>
    <w:rsid w:val="00FB2DB8"/>
    <w:rsid w:val="00FB4321"/>
    <w:rsid w:val="00FB5BA9"/>
    <w:rsid w:val="00FC208F"/>
    <w:rsid w:val="00FC281D"/>
    <w:rsid w:val="00FC2D46"/>
    <w:rsid w:val="00FC3C0C"/>
    <w:rsid w:val="00FC434A"/>
    <w:rsid w:val="00FC4498"/>
    <w:rsid w:val="00FC49C1"/>
    <w:rsid w:val="00FC5D77"/>
    <w:rsid w:val="00FC6837"/>
    <w:rsid w:val="00FD244E"/>
    <w:rsid w:val="00FD2682"/>
    <w:rsid w:val="00FD2C0F"/>
    <w:rsid w:val="00FD5734"/>
    <w:rsid w:val="00FD57C9"/>
    <w:rsid w:val="00FD63BC"/>
    <w:rsid w:val="00FE0534"/>
    <w:rsid w:val="00FE13A5"/>
    <w:rsid w:val="00FE2D12"/>
    <w:rsid w:val="00FE2EFD"/>
    <w:rsid w:val="00FE446F"/>
    <w:rsid w:val="00FE4CD9"/>
    <w:rsid w:val="00FE799C"/>
    <w:rsid w:val="00FF0245"/>
    <w:rsid w:val="00FF1E9E"/>
    <w:rsid w:val="00FF35A9"/>
    <w:rsid w:val="00FF5C6D"/>
    <w:rsid w:val="00FF6068"/>
    <w:rsid w:val="00FF730C"/>
    <w:rsid w:val="00FF7D04"/>
    <w:rsid w:val="0290B2D6"/>
    <w:rsid w:val="0540CA25"/>
    <w:rsid w:val="07936064"/>
    <w:rsid w:val="09EF1046"/>
    <w:rsid w:val="11E6269A"/>
    <w:rsid w:val="174AD5C8"/>
    <w:rsid w:val="3166F0D9"/>
    <w:rsid w:val="4EB30200"/>
    <w:rsid w:val="693781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637FC54"/>
  <w15:docId w15:val="{2F402BFA-4CE6-4689-BFBF-73CD6307A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lsdException w:name="heading 2" w:locked="1"/>
    <w:lsdException w:name="heading 3" w:locked="1"/>
    <w:lsdException w:name="heading 4" w:locked="1"/>
    <w:lsdException w:name="heading 5" w:locked="1" w:uiPriority="0"/>
    <w:lsdException w:name="heading 6" w:locked="1" w:semiHidden="1" w:uiPriority="0" w:unhideWhenUsed="1"/>
    <w:lsdException w:name="heading 7" w:locked="1" w:semiHidden="1" w:uiPriority="0" w:unhideWhenUsed="1"/>
    <w:lsdException w:name="heading 8" w:locked="1" w:semiHidden="1" w:uiPriority="0" w:unhideWhenUsed="1"/>
    <w:lsdException w:name="heading 9" w:locked="1"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qFormat="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nhideWhenUsed="1"/>
    <w:lsdException w:name="header" w:locked="1"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0"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59"/>
    <w:lsdException w:name="Table Theme" w:semiHidden="1" w:unhideWhenUsed="1"/>
    <w:lsdException w:name="Placeholder Text" w:semiHidden="1"/>
    <w:lsdException w:name="No Spacing"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uiPriority="34" w:qFormat="1"/>
    <w:lsdException w:name="Quote" w:uiPriority="29"/>
    <w:lsdException w:name="Intense Quote" w:uiPriority="30"/>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609"/>
    <w:pPr>
      <w:spacing w:after="200" w:line="276" w:lineRule="auto"/>
    </w:pPr>
    <w:rPr>
      <w:rFonts w:ascii="Arial" w:hAnsi="Arial"/>
      <w:szCs w:val="22"/>
      <w:lang w:val="en-US" w:eastAsia="en-US"/>
    </w:rPr>
  </w:style>
  <w:style w:type="paragraph" w:styleId="Heading1">
    <w:name w:val="heading 1"/>
    <w:basedOn w:val="Normal"/>
    <w:next w:val="Normal"/>
    <w:link w:val="Heading1Char"/>
    <w:uiPriority w:val="99"/>
    <w:locked/>
    <w:rsid w:val="00094702"/>
    <w:pPr>
      <w:keepNext/>
      <w:keepLines/>
      <w:spacing w:before="480" w:after="0"/>
      <w:outlineLvl w:val="0"/>
    </w:pPr>
    <w:rPr>
      <w:rFonts w:eastAsia="Times New Roman"/>
      <w:b/>
      <w:bCs/>
      <w:color w:val="00379A"/>
      <w:sz w:val="26"/>
      <w:szCs w:val="28"/>
    </w:rPr>
  </w:style>
  <w:style w:type="paragraph" w:styleId="Heading2">
    <w:name w:val="heading 2"/>
    <w:basedOn w:val="Normal"/>
    <w:next w:val="Normal"/>
    <w:link w:val="Heading2Char"/>
    <w:uiPriority w:val="99"/>
    <w:locked/>
    <w:rsid w:val="00094702"/>
    <w:pPr>
      <w:keepNext/>
      <w:keepLines/>
      <w:spacing w:before="200" w:after="0"/>
      <w:outlineLvl w:val="1"/>
    </w:pPr>
    <w:rPr>
      <w:rFonts w:eastAsia="Times New Roman"/>
      <w:b/>
      <w:bCs/>
      <w:color w:val="00379A"/>
      <w:sz w:val="26"/>
      <w:szCs w:val="26"/>
    </w:rPr>
  </w:style>
  <w:style w:type="paragraph" w:styleId="Heading3">
    <w:name w:val="heading 3"/>
    <w:basedOn w:val="Normal"/>
    <w:next w:val="Normal"/>
    <w:link w:val="Heading3Char"/>
    <w:uiPriority w:val="99"/>
    <w:locked/>
    <w:rsid w:val="00B63886"/>
    <w:pPr>
      <w:keepNext/>
      <w:keepLines/>
      <w:spacing w:before="200" w:after="0"/>
      <w:outlineLvl w:val="2"/>
    </w:pPr>
    <w:rPr>
      <w:rFonts w:eastAsia="Times New Roman"/>
      <w:bCs/>
      <w:color w:val="00379A"/>
      <w:sz w:val="24"/>
    </w:rPr>
  </w:style>
  <w:style w:type="paragraph" w:styleId="Heading4">
    <w:name w:val="heading 4"/>
    <w:basedOn w:val="Normal"/>
    <w:next w:val="Normal"/>
    <w:link w:val="Heading4Char"/>
    <w:uiPriority w:val="99"/>
    <w:locked/>
    <w:rsid w:val="00B63886"/>
    <w:pPr>
      <w:keepNext/>
      <w:keepLines/>
      <w:spacing w:before="200" w:after="0"/>
      <w:outlineLvl w:val="3"/>
    </w:pPr>
    <w:rPr>
      <w:rFonts w:eastAsia="Times New Roman"/>
      <w:b/>
      <w:bCs/>
      <w:iCs/>
      <w:sz w:val="24"/>
    </w:rPr>
  </w:style>
  <w:style w:type="paragraph" w:styleId="Heading5">
    <w:name w:val="heading 5"/>
    <w:basedOn w:val="Normal"/>
    <w:next w:val="Normal"/>
    <w:link w:val="Heading5Char"/>
    <w:uiPriority w:val="99"/>
    <w:locked/>
    <w:rsid w:val="000169DF"/>
    <w:pPr>
      <w:spacing w:before="240" w:after="60"/>
      <w:outlineLvl w:val="4"/>
    </w:pPr>
    <w:rPr>
      <w:rFonts w:ascii="Calibri" w:eastAsia="Times New Roman" w:hAnsi="Calibri"/>
      <w:b/>
      <w:bCs/>
      <w:i/>
      <w:iCs/>
      <w:sz w:val="26"/>
      <w:szCs w:val="26"/>
    </w:rPr>
  </w:style>
  <w:style w:type="paragraph" w:styleId="Heading6">
    <w:name w:val="heading 6"/>
    <w:basedOn w:val="Normal"/>
    <w:next w:val="Normal"/>
    <w:link w:val="Heading6Char"/>
    <w:unhideWhenUsed/>
    <w:locked/>
    <w:rsid w:val="00B6480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locked/>
    <w:rsid w:val="00B6480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locked/>
    <w:rsid w:val="00B6480F"/>
    <w:pPr>
      <w:keepNext/>
      <w:keepLines/>
      <w:spacing w:before="200" w:after="0"/>
      <w:outlineLvl w:val="7"/>
    </w:pPr>
    <w:rPr>
      <w:rFonts w:asciiTheme="majorHAnsi" w:eastAsiaTheme="majorEastAsia" w:hAnsiTheme="majorHAnsi" w:cstheme="majorBidi"/>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94702"/>
    <w:rPr>
      <w:rFonts w:ascii="Arial" w:eastAsia="Times New Roman" w:hAnsi="Arial"/>
      <w:b/>
      <w:bCs/>
      <w:color w:val="00379A"/>
      <w:sz w:val="26"/>
      <w:szCs w:val="28"/>
      <w:lang w:val="en-US" w:eastAsia="en-US"/>
    </w:rPr>
  </w:style>
  <w:style w:type="character" w:customStyle="1" w:styleId="Heading2Char">
    <w:name w:val="Heading 2 Char"/>
    <w:basedOn w:val="DefaultParagraphFont"/>
    <w:link w:val="Heading2"/>
    <w:uiPriority w:val="99"/>
    <w:locked/>
    <w:rsid w:val="00094702"/>
    <w:rPr>
      <w:rFonts w:ascii="Arial" w:eastAsia="Times New Roman" w:hAnsi="Arial"/>
      <w:b/>
      <w:bCs/>
      <w:color w:val="00379A"/>
      <w:sz w:val="26"/>
      <w:szCs w:val="26"/>
      <w:lang w:val="en-US" w:eastAsia="en-US"/>
    </w:rPr>
  </w:style>
  <w:style w:type="character" w:customStyle="1" w:styleId="Heading3Char">
    <w:name w:val="Heading 3 Char"/>
    <w:basedOn w:val="DefaultParagraphFont"/>
    <w:link w:val="Heading3"/>
    <w:uiPriority w:val="99"/>
    <w:locked/>
    <w:rsid w:val="00B63886"/>
    <w:rPr>
      <w:rFonts w:ascii="Arial" w:eastAsia="Times New Roman" w:hAnsi="Arial"/>
      <w:bCs/>
      <w:color w:val="00379A"/>
      <w:sz w:val="24"/>
      <w:szCs w:val="22"/>
      <w:lang w:val="en-US" w:eastAsia="en-US"/>
    </w:rPr>
  </w:style>
  <w:style w:type="character" w:customStyle="1" w:styleId="Heading4Char">
    <w:name w:val="Heading 4 Char"/>
    <w:basedOn w:val="DefaultParagraphFont"/>
    <w:link w:val="Heading4"/>
    <w:uiPriority w:val="99"/>
    <w:locked/>
    <w:rsid w:val="00B63886"/>
    <w:rPr>
      <w:rFonts w:ascii="Arial" w:eastAsia="Times New Roman" w:hAnsi="Arial"/>
      <w:b/>
      <w:bCs/>
      <w:iCs/>
      <w:sz w:val="24"/>
      <w:szCs w:val="22"/>
      <w:lang w:val="en-US" w:eastAsia="en-US"/>
    </w:rPr>
  </w:style>
  <w:style w:type="character" w:customStyle="1" w:styleId="Heading5Char">
    <w:name w:val="Heading 5 Char"/>
    <w:basedOn w:val="DefaultParagraphFont"/>
    <w:link w:val="Heading5"/>
    <w:uiPriority w:val="99"/>
    <w:locked/>
    <w:rsid w:val="000169DF"/>
    <w:rPr>
      <w:rFonts w:ascii="Calibri" w:hAnsi="Calibri" w:cs="Times New Roman"/>
      <w:b/>
      <w:bCs/>
      <w:i/>
      <w:iCs/>
      <w:sz w:val="26"/>
      <w:szCs w:val="26"/>
      <w:lang w:val="en-US" w:eastAsia="en-US"/>
    </w:rPr>
  </w:style>
  <w:style w:type="paragraph" w:styleId="Header">
    <w:name w:val="header"/>
    <w:basedOn w:val="Normal"/>
    <w:link w:val="HeaderChar"/>
    <w:uiPriority w:val="99"/>
    <w:locked/>
    <w:rsid w:val="006C0E34"/>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6C0E34"/>
    <w:rPr>
      <w:rFonts w:cs="Times New Roman"/>
    </w:rPr>
  </w:style>
  <w:style w:type="paragraph" w:styleId="Footer">
    <w:name w:val="footer"/>
    <w:basedOn w:val="Normal"/>
    <w:link w:val="FooterChar"/>
    <w:uiPriority w:val="99"/>
    <w:rsid w:val="006C0E34"/>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6C0E34"/>
    <w:rPr>
      <w:rFonts w:cs="Times New Roman"/>
    </w:rPr>
  </w:style>
  <w:style w:type="paragraph" w:styleId="BalloonText">
    <w:name w:val="Balloon Text"/>
    <w:basedOn w:val="Normal"/>
    <w:link w:val="BalloonTextChar"/>
    <w:uiPriority w:val="99"/>
    <w:semiHidden/>
    <w:rsid w:val="006C0E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C0E34"/>
    <w:rPr>
      <w:rFonts w:ascii="Tahoma" w:hAnsi="Tahoma" w:cs="Tahoma"/>
      <w:sz w:val="16"/>
      <w:szCs w:val="16"/>
    </w:rPr>
  </w:style>
  <w:style w:type="paragraph" w:styleId="NoSpacing">
    <w:name w:val="No Spacing"/>
    <w:link w:val="NoSpacingChar"/>
    <w:uiPriority w:val="99"/>
    <w:qFormat/>
    <w:rsid w:val="00843EF5"/>
    <w:rPr>
      <w:rFonts w:ascii="Arial" w:hAnsi="Arial"/>
      <w:sz w:val="24"/>
      <w:szCs w:val="22"/>
      <w:lang w:val="en-US" w:eastAsia="en-US"/>
    </w:rPr>
  </w:style>
  <w:style w:type="paragraph" w:styleId="DocumentMap">
    <w:name w:val="Document Map"/>
    <w:basedOn w:val="Normal"/>
    <w:link w:val="DocumentMapChar"/>
    <w:uiPriority w:val="99"/>
    <w:semiHidden/>
    <w:rsid w:val="00CD7DD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CD7DD3"/>
    <w:rPr>
      <w:rFonts w:ascii="Tahoma" w:hAnsi="Tahoma" w:cs="Tahoma"/>
      <w:sz w:val="16"/>
      <w:szCs w:val="16"/>
    </w:rPr>
  </w:style>
  <w:style w:type="character" w:styleId="Hyperlink">
    <w:name w:val="Hyperlink"/>
    <w:basedOn w:val="DefaultParagraphFont"/>
    <w:uiPriority w:val="99"/>
    <w:rsid w:val="00296046"/>
    <w:rPr>
      <w:rFonts w:cs="Times New Roman"/>
      <w:color w:val="0000FF"/>
      <w:u w:val="single"/>
    </w:rPr>
  </w:style>
  <w:style w:type="paragraph" w:styleId="ListParagraph">
    <w:name w:val="List Paragraph"/>
    <w:basedOn w:val="Normal"/>
    <w:uiPriority w:val="34"/>
    <w:qFormat/>
    <w:rsid w:val="00486AD3"/>
    <w:pPr>
      <w:spacing w:after="0" w:line="240" w:lineRule="auto"/>
      <w:ind w:left="720"/>
    </w:pPr>
    <w:rPr>
      <w:rFonts w:eastAsia="Times New Roman"/>
      <w:szCs w:val="24"/>
      <w:lang w:val="en-GB" w:eastAsia="en-GB"/>
    </w:rPr>
  </w:style>
  <w:style w:type="table" w:styleId="TableGrid">
    <w:name w:val="Table Grid"/>
    <w:basedOn w:val="TableNormal"/>
    <w:uiPriority w:val="59"/>
    <w:rsid w:val="00DD02A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rsid w:val="00DD02A4"/>
    <w:rPr>
      <w:rFonts w:cs="Times New Roman"/>
    </w:rPr>
  </w:style>
  <w:style w:type="character" w:styleId="CommentReference">
    <w:name w:val="annotation reference"/>
    <w:basedOn w:val="DefaultParagraphFont"/>
    <w:uiPriority w:val="99"/>
    <w:semiHidden/>
    <w:rsid w:val="00DD02A4"/>
    <w:rPr>
      <w:rFonts w:cs="Times New Roman"/>
      <w:sz w:val="16"/>
      <w:szCs w:val="16"/>
    </w:rPr>
  </w:style>
  <w:style w:type="paragraph" w:styleId="CommentText">
    <w:name w:val="annotation text"/>
    <w:basedOn w:val="Normal"/>
    <w:link w:val="CommentTextChar"/>
    <w:uiPriority w:val="99"/>
    <w:semiHidden/>
    <w:rsid w:val="00DD02A4"/>
    <w:pPr>
      <w:spacing w:after="0" w:line="240" w:lineRule="auto"/>
    </w:pPr>
    <w:rPr>
      <w:rFonts w:eastAsia="Times New Roman"/>
      <w:szCs w:val="20"/>
      <w:lang w:val="en-GB"/>
    </w:rPr>
  </w:style>
  <w:style w:type="character" w:customStyle="1" w:styleId="CommentTextChar">
    <w:name w:val="Comment Text Char"/>
    <w:basedOn w:val="DefaultParagraphFont"/>
    <w:link w:val="CommentText"/>
    <w:uiPriority w:val="99"/>
    <w:semiHidden/>
    <w:locked/>
    <w:rsid w:val="00DD02A4"/>
    <w:rPr>
      <w:rFonts w:ascii="Arial" w:hAnsi="Arial" w:cs="Times New Roman"/>
      <w:lang w:eastAsia="en-US"/>
    </w:rPr>
  </w:style>
  <w:style w:type="paragraph" w:styleId="CommentSubject">
    <w:name w:val="annotation subject"/>
    <w:basedOn w:val="CommentText"/>
    <w:next w:val="CommentText"/>
    <w:link w:val="CommentSubjectChar"/>
    <w:uiPriority w:val="99"/>
    <w:semiHidden/>
    <w:rsid w:val="00DD02A4"/>
    <w:rPr>
      <w:b/>
      <w:bCs/>
    </w:rPr>
  </w:style>
  <w:style w:type="character" w:customStyle="1" w:styleId="CommentSubjectChar">
    <w:name w:val="Comment Subject Char"/>
    <w:basedOn w:val="CommentTextChar"/>
    <w:link w:val="CommentSubject"/>
    <w:uiPriority w:val="99"/>
    <w:semiHidden/>
    <w:locked/>
    <w:rsid w:val="00DD02A4"/>
    <w:rPr>
      <w:rFonts w:ascii="Arial" w:hAnsi="Arial" w:cs="Times New Roman"/>
      <w:b/>
      <w:bCs/>
      <w:lang w:eastAsia="en-US"/>
    </w:rPr>
  </w:style>
  <w:style w:type="paragraph" w:styleId="FootnoteText">
    <w:name w:val="footnote text"/>
    <w:basedOn w:val="Normal"/>
    <w:link w:val="FootnoteTextChar"/>
    <w:uiPriority w:val="99"/>
    <w:semiHidden/>
    <w:rsid w:val="00CF00FD"/>
    <w:rPr>
      <w:szCs w:val="20"/>
    </w:rPr>
  </w:style>
  <w:style w:type="character" w:customStyle="1" w:styleId="FootnoteTextChar">
    <w:name w:val="Footnote Text Char"/>
    <w:basedOn w:val="DefaultParagraphFont"/>
    <w:link w:val="FootnoteText"/>
    <w:uiPriority w:val="99"/>
    <w:semiHidden/>
    <w:locked/>
    <w:rsid w:val="00CF00FD"/>
    <w:rPr>
      <w:rFonts w:ascii="Arial" w:hAnsi="Arial" w:cs="Times New Roman"/>
      <w:lang w:val="en-US" w:eastAsia="en-US"/>
    </w:rPr>
  </w:style>
  <w:style w:type="character" w:styleId="FootnoteReference">
    <w:name w:val="footnote reference"/>
    <w:basedOn w:val="DefaultParagraphFont"/>
    <w:uiPriority w:val="99"/>
    <w:rsid w:val="00CF00FD"/>
    <w:rPr>
      <w:rFonts w:cs="Times New Roman"/>
      <w:vertAlign w:val="superscript"/>
    </w:rPr>
  </w:style>
  <w:style w:type="paragraph" w:customStyle="1" w:styleId="Default">
    <w:name w:val="Default"/>
    <w:locked/>
    <w:rsid w:val="002C49DB"/>
    <w:pPr>
      <w:autoSpaceDE w:val="0"/>
      <w:autoSpaceDN w:val="0"/>
      <w:adjustRightInd w:val="0"/>
    </w:pPr>
    <w:rPr>
      <w:rFonts w:ascii="Arial" w:hAnsi="Arial" w:cs="Arial"/>
      <w:color w:val="000000"/>
      <w:sz w:val="24"/>
      <w:szCs w:val="24"/>
    </w:rPr>
  </w:style>
  <w:style w:type="paragraph" w:customStyle="1" w:styleId="Style2">
    <w:name w:val="Style2"/>
    <w:basedOn w:val="Heading1"/>
    <w:link w:val="Style2Char"/>
    <w:uiPriority w:val="99"/>
    <w:rsid w:val="000169DF"/>
    <w:pPr>
      <w:keepNext w:val="0"/>
      <w:keepLines w:val="0"/>
      <w:numPr>
        <w:numId w:val="1"/>
      </w:numPr>
      <w:spacing w:before="0" w:line="300" w:lineRule="atLeast"/>
      <w:ind w:right="4029"/>
    </w:pPr>
    <w:rPr>
      <w:b w:val="0"/>
      <w:bCs w:val="0"/>
      <w:sz w:val="24"/>
      <w:szCs w:val="52"/>
      <w:lang w:val="en-GB"/>
    </w:rPr>
  </w:style>
  <w:style w:type="character" w:customStyle="1" w:styleId="Style2Char">
    <w:name w:val="Style2 Char"/>
    <w:basedOn w:val="Heading1Char"/>
    <w:link w:val="Style2"/>
    <w:uiPriority w:val="99"/>
    <w:locked/>
    <w:rsid w:val="000169DF"/>
    <w:rPr>
      <w:rFonts w:ascii="Arial" w:eastAsia="Times New Roman" w:hAnsi="Arial"/>
      <w:b w:val="0"/>
      <w:bCs w:val="0"/>
      <w:color w:val="00379A"/>
      <w:sz w:val="24"/>
      <w:szCs w:val="52"/>
      <w:lang w:val="en-US" w:eastAsia="en-US"/>
    </w:rPr>
  </w:style>
  <w:style w:type="paragraph" w:customStyle="1" w:styleId="numberedparagraph">
    <w:name w:val="numbered paragraph"/>
    <w:basedOn w:val="Normal"/>
    <w:link w:val="numberedparagraphChar"/>
    <w:uiPriority w:val="99"/>
    <w:rsid w:val="000169DF"/>
    <w:pPr>
      <w:tabs>
        <w:tab w:val="num" w:pos="567"/>
      </w:tabs>
      <w:spacing w:before="120" w:after="120" w:line="240" w:lineRule="auto"/>
      <w:ind w:left="567" w:hanging="567"/>
    </w:pPr>
    <w:rPr>
      <w:rFonts w:eastAsia="Times New Roman" w:cs="Arial"/>
      <w:szCs w:val="24"/>
      <w:lang w:val="en-GB"/>
    </w:rPr>
  </w:style>
  <w:style w:type="character" w:customStyle="1" w:styleId="numberedparagraphChar">
    <w:name w:val="numbered paragraph Char"/>
    <w:basedOn w:val="DefaultParagraphFont"/>
    <w:link w:val="numberedparagraph"/>
    <w:uiPriority w:val="99"/>
    <w:locked/>
    <w:rsid w:val="000169DF"/>
    <w:rPr>
      <w:rFonts w:ascii="Arial" w:hAnsi="Arial" w:cs="Arial"/>
      <w:sz w:val="24"/>
      <w:szCs w:val="24"/>
      <w:lang w:eastAsia="en-US"/>
    </w:rPr>
  </w:style>
  <w:style w:type="character" w:styleId="FollowedHyperlink">
    <w:name w:val="FollowedHyperlink"/>
    <w:basedOn w:val="DefaultParagraphFont"/>
    <w:uiPriority w:val="99"/>
    <w:semiHidden/>
    <w:unhideWhenUsed/>
    <w:rsid w:val="00DE185C"/>
    <w:rPr>
      <w:color w:val="800080"/>
      <w:u w:val="single"/>
    </w:rPr>
  </w:style>
  <w:style w:type="paragraph" w:customStyle="1" w:styleId="letteredlist">
    <w:name w:val="lettered list"/>
    <w:basedOn w:val="Normal"/>
    <w:locked/>
    <w:rsid w:val="00334C8B"/>
    <w:pPr>
      <w:tabs>
        <w:tab w:val="num" w:pos="964"/>
      </w:tabs>
      <w:spacing w:after="60" w:line="240" w:lineRule="auto"/>
      <w:ind w:left="964" w:hanging="397"/>
    </w:pPr>
    <w:rPr>
      <w:rFonts w:eastAsia="Times New Roman" w:cs="Arial"/>
      <w:szCs w:val="24"/>
      <w:lang w:val="en-GB"/>
    </w:rPr>
  </w:style>
  <w:style w:type="paragraph" w:styleId="TOCHeading">
    <w:name w:val="TOC Heading"/>
    <w:basedOn w:val="TOAHeading"/>
    <w:next w:val="Normal"/>
    <w:uiPriority w:val="39"/>
    <w:unhideWhenUsed/>
    <w:qFormat/>
    <w:rsid w:val="00817C9A"/>
    <w:rPr>
      <w:rFonts w:ascii="Arial" w:hAnsi="Arial"/>
      <w:color w:val="EE7E3B"/>
      <w:sz w:val="40"/>
    </w:rPr>
  </w:style>
  <w:style w:type="paragraph" w:styleId="TOC3">
    <w:name w:val="toc 3"/>
    <w:basedOn w:val="Normal"/>
    <w:next w:val="Normal"/>
    <w:autoRedefine/>
    <w:uiPriority w:val="39"/>
    <w:locked/>
    <w:rsid w:val="00DF7D4C"/>
    <w:pPr>
      <w:spacing w:after="100"/>
      <w:ind w:left="480"/>
    </w:pPr>
    <w:rPr>
      <w:sz w:val="24"/>
    </w:rPr>
  </w:style>
  <w:style w:type="paragraph" w:styleId="TOC2">
    <w:name w:val="toc 2"/>
    <w:basedOn w:val="Normal"/>
    <w:next w:val="Normal"/>
    <w:autoRedefine/>
    <w:uiPriority w:val="39"/>
    <w:locked/>
    <w:rsid w:val="00DF7D4C"/>
    <w:pPr>
      <w:spacing w:after="100"/>
      <w:ind w:left="240"/>
    </w:pPr>
    <w:rPr>
      <w:sz w:val="24"/>
    </w:rPr>
  </w:style>
  <w:style w:type="paragraph" w:customStyle="1" w:styleId="font8">
    <w:name w:val="font_8"/>
    <w:basedOn w:val="Normal"/>
    <w:locked/>
    <w:rsid w:val="00EB5446"/>
    <w:pPr>
      <w:spacing w:before="100" w:beforeAutospacing="1" w:after="100" w:afterAutospacing="1" w:line="240" w:lineRule="auto"/>
    </w:pPr>
    <w:rPr>
      <w:rFonts w:ascii="Times New Roman" w:eastAsia="Times New Roman" w:hAnsi="Times New Roman"/>
      <w:szCs w:val="24"/>
      <w:lang w:val="en-GB" w:eastAsia="en-GB"/>
    </w:rPr>
  </w:style>
  <w:style w:type="paragraph" w:styleId="TOC1">
    <w:name w:val="toc 1"/>
    <w:basedOn w:val="Normal"/>
    <w:next w:val="Normal"/>
    <w:autoRedefine/>
    <w:uiPriority w:val="39"/>
    <w:qFormat/>
    <w:locked/>
    <w:rsid w:val="00FC208F"/>
    <w:pPr>
      <w:tabs>
        <w:tab w:val="right" w:leader="dot" w:pos="9016"/>
      </w:tabs>
      <w:spacing w:after="100"/>
    </w:pPr>
    <w:rPr>
      <w:noProof/>
      <w:sz w:val="24"/>
      <w:lang w:val="en-GB"/>
    </w:rPr>
  </w:style>
  <w:style w:type="character" w:customStyle="1" w:styleId="NoSpacingChar">
    <w:name w:val="No Spacing Char"/>
    <w:basedOn w:val="DefaultParagraphFont"/>
    <w:link w:val="NoSpacing"/>
    <w:uiPriority w:val="99"/>
    <w:rsid w:val="000528DE"/>
    <w:rPr>
      <w:rFonts w:ascii="Arial" w:hAnsi="Arial"/>
      <w:sz w:val="24"/>
      <w:szCs w:val="22"/>
      <w:lang w:val="en-US" w:eastAsia="en-US"/>
    </w:rPr>
  </w:style>
  <w:style w:type="character" w:styleId="Strong">
    <w:name w:val="Strong"/>
    <w:basedOn w:val="DefaultParagraphFont"/>
    <w:uiPriority w:val="22"/>
    <w:qFormat/>
    <w:locked/>
    <w:rsid w:val="00C4533D"/>
    <w:rPr>
      <w:b/>
      <w:bCs/>
    </w:rPr>
  </w:style>
  <w:style w:type="paragraph" w:styleId="NormalWeb">
    <w:name w:val="Normal (Web)"/>
    <w:basedOn w:val="Normal"/>
    <w:uiPriority w:val="99"/>
    <w:semiHidden/>
    <w:unhideWhenUsed/>
    <w:rsid w:val="00685185"/>
    <w:pPr>
      <w:spacing w:before="100" w:beforeAutospacing="1" w:after="100" w:afterAutospacing="1" w:line="240" w:lineRule="auto"/>
    </w:pPr>
    <w:rPr>
      <w:rFonts w:ascii="Times New Roman" w:eastAsia="Times New Roman" w:hAnsi="Times New Roman"/>
      <w:sz w:val="24"/>
      <w:szCs w:val="24"/>
      <w:lang w:val="en-GB" w:eastAsia="en-GB"/>
    </w:rPr>
  </w:style>
  <w:style w:type="paragraph" w:styleId="BodyText">
    <w:name w:val="Body Text"/>
    <w:aliases w:val="Document,Doc,Body Text2,doc,Standard paragraph,Text,1body,BodText,bt,body text,Body Txt,Body Text-10,Τίτλος Μελέτης,- TF, Char"/>
    <w:link w:val="BodyTextChar"/>
    <w:qFormat/>
    <w:locked/>
    <w:rsid w:val="00B6480F"/>
    <w:pPr>
      <w:numPr>
        <w:ilvl w:val="1"/>
      </w:numPr>
      <w:spacing w:after="240" w:line="276" w:lineRule="auto"/>
    </w:pPr>
    <w:rPr>
      <w:rFonts w:ascii="Tahoma" w:eastAsiaTheme="minorHAnsi" w:hAnsi="Tahoma" w:cstheme="minorBidi"/>
      <w:bCs/>
      <w:sz w:val="24"/>
      <w:szCs w:val="52"/>
      <w:lang w:eastAsia="en-US"/>
    </w:rPr>
  </w:style>
  <w:style w:type="character" w:customStyle="1" w:styleId="BodyTextChar">
    <w:name w:val="Body Text Char"/>
    <w:aliases w:val="Document Char,Doc Char,Body Text2 Char,doc Char,Standard paragraph Char,Text Char,1body Char,BodText Char,bt Char,body text Char,Body Txt Char,Body Text-10 Char,Τίτλος Μελέτης Char,- TF Char, Char Char"/>
    <w:basedOn w:val="DefaultParagraphFont"/>
    <w:link w:val="BodyText"/>
    <w:rsid w:val="00B6480F"/>
    <w:rPr>
      <w:rFonts w:ascii="Tahoma" w:eastAsiaTheme="minorHAnsi" w:hAnsi="Tahoma" w:cstheme="minorBidi"/>
      <w:bCs/>
      <w:sz w:val="24"/>
      <w:szCs w:val="52"/>
      <w:lang w:eastAsia="en-US"/>
    </w:rPr>
  </w:style>
  <w:style w:type="character" w:customStyle="1" w:styleId="Heading6Char">
    <w:name w:val="Heading 6 Char"/>
    <w:basedOn w:val="DefaultParagraphFont"/>
    <w:link w:val="Heading6"/>
    <w:rsid w:val="00B6480F"/>
    <w:rPr>
      <w:rFonts w:asciiTheme="majorHAnsi" w:eastAsiaTheme="majorEastAsia" w:hAnsiTheme="majorHAnsi" w:cstheme="majorBidi"/>
      <w:i/>
      <w:iCs/>
      <w:color w:val="243F60" w:themeColor="accent1" w:themeShade="7F"/>
      <w:sz w:val="22"/>
      <w:szCs w:val="22"/>
      <w:lang w:val="en-US" w:eastAsia="en-US"/>
    </w:rPr>
  </w:style>
  <w:style w:type="character" w:customStyle="1" w:styleId="Heading7Char">
    <w:name w:val="Heading 7 Char"/>
    <w:basedOn w:val="DefaultParagraphFont"/>
    <w:link w:val="Heading7"/>
    <w:rsid w:val="00B6480F"/>
    <w:rPr>
      <w:rFonts w:asciiTheme="majorHAnsi" w:eastAsiaTheme="majorEastAsia" w:hAnsiTheme="majorHAnsi" w:cstheme="majorBidi"/>
      <w:i/>
      <w:iCs/>
      <w:color w:val="404040" w:themeColor="text1" w:themeTint="BF"/>
      <w:sz w:val="22"/>
      <w:szCs w:val="22"/>
      <w:lang w:val="en-US" w:eastAsia="en-US"/>
    </w:rPr>
  </w:style>
  <w:style w:type="character" w:customStyle="1" w:styleId="Heading8Char">
    <w:name w:val="Heading 8 Char"/>
    <w:basedOn w:val="DefaultParagraphFont"/>
    <w:link w:val="Heading8"/>
    <w:rsid w:val="00B6480F"/>
    <w:rPr>
      <w:rFonts w:asciiTheme="majorHAnsi" w:eastAsiaTheme="majorEastAsia" w:hAnsiTheme="majorHAnsi" w:cstheme="majorBidi"/>
      <w:color w:val="404040" w:themeColor="text1" w:themeTint="BF"/>
      <w:lang w:val="en-US" w:eastAsia="en-US"/>
    </w:rPr>
  </w:style>
  <w:style w:type="paragraph" w:styleId="EndnoteText">
    <w:name w:val="endnote text"/>
    <w:basedOn w:val="Normal"/>
    <w:link w:val="EndnoteTextChar"/>
    <w:uiPriority w:val="99"/>
    <w:semiHidden/>
    <w:unhideWhenUsed/>
    <w:rsid w:val="007324B6"/>
    <w:pPr>
      <w:spacing w:after="0" w:line="240" w:lineRule="auto"/>
    </w:pPr>
    <w:rPr>
      <w:szCs w:val="20"/>
    </w:rPr>
  </w:style>
  <w:style w:type="character" w:customStyle="1" w:styleId="EndnoteTextChar">
    <w:name w:val="Endnote Text Char"/>
    <w:basedOn w:val="DefaultParagraphFont"/>
    <w:link w:val="EndnoteText"/>
    <w:uiPriority w:val="99"/>
    <w:semiHidden/>
    <w:rsid w:val="007324B6"/>
    <w:rPr>
      <w:rFonts w:ascii="Arial" w:hAnsi="Arial"/>
      <w:lang w:val="en-US" w:eastAsia="en-US"/>
    </w:rPr>
  </w:style>
  <w:style w:type="character" w:styleId="EndnoteReference">
    <w:name w:val="endnote reference"/>
    <w:basedOn w:val="DefaultParagraphFont"/>
    <w:uiPriority w:val="99"/>
    <w:semiHidden/>
    <w:unhideWhenUsed/>
    <w:rsid w:val="007324B6"/>
    <w:rPr>
      <w:vertAlign w:val="superscript"/>
    </w:rPr>
  </w:style>
  <w:style w:type="character" w:styleId="Emphasis">
    <w:name w:val="Emphasis"/>
    <w:basedOn w:val="DefaultParagraphFont"/>
    <w:uiPriority w:val="99"/>
    <w:locked/>
    <w:rsid w:val="001E2F5B"/>
    <w:rPr>
      <w:i/>
      <w:iCs/>
    </w:rPr>
  </w:style>
  <w:style w:type="character" w:customStyle="1" w:styleId="st">
    <w:name w:val="st"/>
    <w:basedOn w:val="DefaultParagraphFont"/>
    <w:locked/>
    <w:rsid w:val="001E2F5B"/>
  </w:style>
  <w:style w:type="paragraph" w:customStyle="1" w:styleId="LWHead1">
    <w:name w:val="LWHead1"/>
    <w:basedOn w:val="NoSpacing"/>
    <w:link w:val="LWHead1Char"/>
    <w:qFormat/>
    <w:rsid w:val="00A27CB3"/>
    <w:rPr>
      <w:rFonts w:cs="Arial"/>
      <w:b/>
      <w:color w:val="595959" w:themeColor="text1" w:themeTint="A6"/>
      <w:sz w:val="72"/>
      <w:szCs w:val="72"/>
    </w:rPr>
  </w:style>
  <w:style w:type="paragraph" w:customStyle="1" w:styleId="LWHead1A">
    <w:name w:val="LWHead1A"/>
    <w:basedOn w:val="NoSpacing"/>
    <w:link w:val="LWHead1AChar"/>
    <w:qFormat/>
    <w:rsid w:val="00A27CB3"/>
    <w:rPr>
      <w:rFonts w:cs="Arial"/>
      <w:b/>
      <w:color w:val="595959" w:themeColor="text1" w:themeTint="A6"/>
      <w:sz w:val="40"/>
      <w:szCs w:val="40"/>
    </w:rPr>
  </w:style>
  <w:style w:type="character" w:customStyle="1" w:styleId="LWHead1Char">
    <w:name w:val="LWHead1 Char"/>
    <w:basedOn w:val="NoSpacingChar"/>
    <w:link w:val="LWHead1"/>
    <w:rsid w:val="00A27CB3"/>
    <w:rPr>
      <w:rFonts w:ascii="Arial" w:hAnsi="Arial" w:cs="Arial"/>
      <w:b/>
      <w:color w:val="595959" w:themeColor="text1" w:themeTint="A6"/>
      <w:sz w:val="72"/>
      <w:szCs w:val="72"/>
      <w:lang w:val="en-US" w:eastAsia="en-US"/>
    </w:rPr>
  </w:style>
  <w:style w:type="paragraph" w:customStyle="1" w:styleId="LWHead1B">
    <w:name w:val="LWHead1B"/>
    <w:basedOn w:val="NoSpacing"/>
    <w:link w:val="LWHead1BChar"/>
    <w:qFormat/>
    <w:rsid w:val="002F3D1B"/>
    <w:rPr>
      <w:rFonts w:cs="Arial"/>
      <w:color w:val="595959" w:themeColor="text1" w:themeTint="A6"/>
      <w:sz w:val="40"/>
      <w:szCs w:val="40"/>
    </w:rPr>
  </w:style>
  <w:style w:type="character" w:customStyle="1" w:styleId="LWHead1AChar">
    <w:name w:val="LWHead1A Char"/>
    <w:basedOn w:val="NoSpacingChar"/>
    <w:link w:val="LWHead1A"/>
    <w:rsid w:val="00A27CB3"/>
    <w:rPr>
      <w:rFonts w:ascii="Arial" w:hAnsi="Arial" w:cs="Arial"/>
      <w:b/>
      <w:color w:val="595959" w:themeColor="text1" w:themeTint="A6"/>
      <w:sz w:val="40"/>
      <w:szCs w:val="40"/>
      <w:lang w:val="en-US" w:eastAsia="en-US"/>
    </w:rPr>
  </w:style>
  <w:style w:type="paragraph" w:customStyle="1" w:styleId="LWTitle1">
    <w:name w:val="LWTitle1"/>
    <w:basedOn w:val="Heading1"/>
    <w:link w:val="LWTitle1Char"/>
    <w:qFormat/>
    <w:rsid w:val="000618BA"/>
    <w:pPr>
      <w:spacing w:line="240" w:lineRule="auto"/>
    </w:pPr>
    <w:rPr>
      <w:rFonts w:cs="Arial"/>
      <w:color w:val="EE7E3B"/>
      <w:sz w:val="40"/>
      <w:szCs w:val="26"/>
      <w:lang w:val="en-GB"/>
    </w:rPr>
  </w:style>
  <w:style w:type="character" w:customStyle="1" w:styleId="LWHead1BChar">
    <w:name w:val="LWHead1B Char"/>
    <w:basedOn w:val="NoSpacingChar"/>
    <w:link w:val="LWHead1B"/>
    <w:rsid w:val="002F3D1B"/>
    <w:rPr>
      <w:rFonts w:ascii="Arial" w:hAnsi="Arial" w:cs="Arial"/>
      <w:color w:val="595959" w:themeColor="text1" w:themeTint="A6"/>
      <w:sz w:val="40"/>
      <w:szCs w:val="40"/>
      <w:lang w:val="en-US" w:eastAsia="en-US"/>
    </w:rPr>
  </w:style>
  <w:style w:type="paragraph" w:customStyle="1" w:styleId="LWTitle2">
    <w:name w:val="LWTitle2"/>
    <w:basedOn w:val="Heading2"/>
    <w:link w:val="LWTitle2Char"/>
    <w:qFormat/>
    <w:rsid w:val="0040348A"/>
    <w:rPr>
      <w:rFonts w:cs="Arial"/>
      <w:color w:val="EE7E3B"/>
      <w:sz w:val="28"/>
      <w:lang w:val="en-GB"/>
    </w:rPr>
  </w:style>
  <w:style w:type="character" w:customStyle="1" w:styleId="LWTitle1Char">
    <w:name w:val="LWTitle1 Char"/>
    <w:basedOn w:val="DefaultParagraphFont"/>
    <w:link w:val="LWTitle1"/>
    <w:rsid w:val="000618BA"/>
    <w:rPr>
      <w:rFonts w:ascii="Arial" w:eastAsia="Times New Roman" w:hAnsi="Arial" w:cs="Arial"/>
      <w:b/>
      <w:bCs/>
      <w:color w:val="EE7E3B"/>
      <w:sz w:val="40"/>
      <w:szCs w:val="26"/>
      <w:lang w:eastAsia="en-US"/>
    </w:rPr>
  </w:style>
  <w:style w:type="paragraph" w:customStyle="1" w:styleId="LWBody">
    <w:name w:val="LWBody"/>
    <w:basedOn w:val="Normal"/>
    <w:link w:val="LWBodyChar"/>
    <w:qFormat/>
    <w:rsid w:val="0037172C"/>
    <w:rPr>
      <w:rFonts w:cs="Arial"/>
      <w:sz w:val="24"/>
      <w:szCs w:val="20"/>
      <w:lang w:val="en-GB"/>
    </w:rPr>
  </w:style>
  <w:style w:type="character" w:customStyle="1" w:styleId="LWTitle2Char">
    <w:name w:val="LWTitle2 Char"/>
    <w:basedOn w:val="Heading2Char"/>
    <w:link w:val="LWTitle2"/>
    <w:rsid w:val="0040348A"/>
    <w:rPr>
      <w:rFonts w:ascii="Arial" w:eastAsia="Times New Roman" w:hAnsi="Arial" w:cs="Arial"/>
      <w:b/>
      <w:bCs/>
      <w:color w:val="EE7E3B"/>
      <w:sz w:val="28"/>
      <w:szCs w:val="26"/>
      <w:lang w:val="en-US" w:eastAsia="en-US"/>
    </w:rPr>
  </w:style>
  <w:style w:type="table" w:customStyle="1" w:styleId="LWTable">
    <w:name w:val="LWTable"/>
    <w:basedOn w:val="TableNormal"/>
    <w:uiPriority w:val="99"/>
    <w:qFormat/>
    <w:rsid w:val="00717338"/>
    <w:rPr>
      <w:rFonts w:ascii="Arial" w:hAnsi="Arial"/>
      <w:sz w:val="22"/>
    </w:rPr>
    <w:tblPr/>
    <w:tcPr>
      <w:shd w:val="clear" w:color="auto" w:fill="C2DBE4"/>
    </w:tcPr>
  </w:style>
  <w:style w:type="character" w:customStyle="1" w:styleId="LWBodyChar">
    <w:name w:val="LWBody Char"/>
    <w:basedOn w:val="DefaultParagraphFont"/>
    <w:link w:val="LWBody"/>
    <w:rsid w:val="0037172C"/>
    <w:rPr>
      <w:rFonts w:ascii="Arial" w:hAnsi="Arial" w:cs="Arial"/>
      <w:sz w:val="24"/>
      <w:lang w:eastAsia="en-US"/>
    </w:rPr>
  </w:style>
  <w:style w:type="character" w:styleId="SubtleEmphasis">
    <w:name w:val="Subtle Emphasis"/>
    <w:basedOn w:val="DefaultParagraphFont"/>
    <w:uiPriority w:val="19"/>
    <w:rsid w:val="00230A04"/>
    <w:rPr>
      <w:i/>
      <w:iCs/>
      <w:color w:val="808080" w:themeColor="text1" w:themeTint="7F"/>
    </w:rPr>
  </w:style>
  <w:style w:type="character" w:styleId="IntenseEmphasis">
    <w:name w:val="Intense Emphasis"/>
    <w:basedOn w:val="DefaultParagraphFont"/>
    <w:uiPriority w:val="21"/>
    <w:rsid w:val="00230A04"/>
    <w:rPr>
      <w:b/>
      <w:bCs/>
      <w:i/>
      <w:iCs/>
      <w:color w:val="4F81BD" w:themeColor="accent1"/>
    </w:rPr>
  </w:style>
  <w:style w:type="paragraph" w:styleId="Quote">
    <w:name w:val="Quote"/>
    <w:basedOn w:val="Normal"/>
    <w:next w:val="Normal"/>
    <w:link w:val="QuoteChar"/>
    <w:uiPriority w:val="29"/>
    <w:rsid w:val="00230A04"/>
    <w:rPr>
      <w:i/>
      <w:iCs/>
      <w:color w:val="000000" w:themeColor="text1"/>
    </w:rPr>
  </w:style>
  <w:style w:type="character" w:customStyle="1" w:styleId="QuoteChar">
    <w:name w:val="Quote Char"/>
    <w:basedOn w:val="DefaultParagraphFont"/>
    <w:link w:val="Quote"/>
    <w:uiPriority w:val="29"/>
    <w:rsid w:val="00230A04"/>
    <w:rPr>
      <w:rFonts w:ascii="Arial" w:hAnsi="Arial"/>
      <w:i/>
      <w:iCs/>
      <w:color w:val="000000" w:themeColor="text1"/>
      <w:szCs w:val="22"/>
      <w:lang w:val="en-US" w:eastAsia="en-US"/>
    </w:rPr>
  </w:style>
  <w:style w:type="paragraph" w:customStyle="1" w:styleId="LWTitle3">
    <w:name w:val="LWTitle3"/>
    <w:basedOn w:val="Heading3"/>
    <w:link w:val="LWTitle3Char"/>
    <w:qFormat/>
    <w:rsid w:val="000618BA"/>
    <w:pPr>
      <w:spacing w:before="0" w:line="360" w:lineRule="auto"/>
    </w:pPr>
    <w:rPr>
      <w:b/>
      <w:color w:val="EE7E3B"/>
      <w:sz w:val="26"/>
    </w:rPr>
  </w:style>
  <w:style w:type="paragraph" w:customStyle="1" w:styleId="LWSub1">
    <w:name w:val="LWSub1"/>
    <w:basedOn w:val="Heading3"/>
    <w:link w:val="LWSub1Char"/>
    <w:qFormat/>
    <w:rsid w:val="00106E07"/>
    <w:rPr>
      <w:rFonts w:cs="Arial"/>
      <w:b/>
      <w:color w:val="3FBFAD"/>
      <w:lang w:val="en-GB"/>
    </w:rPr>
  </w:style>
  <w:style w:type="character" w:customStyle="1" w:styleId="LWTitle3Char">
    <w:name w:val="LWTitle3 Char"/>
    <w:basedOn w:val="Heading1Char"/>
    <w:link w:val="LWTitle3"/>
    <w:rsid w:val="000618BA"/>
    <w:rPr>
      <w:rFonts w:ascii="Arial" w:eastAsia="Times New Roman" w:hAnsi="Arial"/>
      <w:b/>
      <w:bCs/>
      <w:color w:val="EE7E3B"/>
      <w:sz w:val="26"/>
      <w:szCs w:val="22"/>
      <w:lang w:val="en-US" w:eastAsia="en-US"/>
    </w:rPr>
  </w:style>
  <w:style w:type="paragraph" w:customStyle="1" w:styleId="LWSub2">
    <w:name w:val="LWSub2"/>
    <w:basedOn w:val="Heading3"/>
    <w:link w:val="LWSub2Char"/>
    <w:qFormat/>
    <w:rsid w:val="00106E07"/>
    <w:rPr>
      <w:rFonts w:cs="Arial"/>
      <w:b/>
      <w:color w:val="F6C65C"/>
      <w:lang w:val="en-GB"/>
    </w:rPr>
  </w:style>
  <w:style w:type="character" w:customStyle="1" w:styleId="LWSub1Char">
    <w:name w:val="LWSub1 Char"/>
    <w:basedOn w:val="Heading3Char"/>
    <w:link w:val="LWSub1"/>
    <w:rsid w:val="00106E07"/>
    <w:rPr>
      <w:rFonts w:ascii="Arial" w:eastAsia="Times New Roman" w:hAnsi="Arial" w:cs="Arial"/>
      <w:b/>
      <w:bCs/>
      <w:color w:val="3FBFAD"/>
      <w:sz w:val="24"/>
      <w:szCs w:val="22"/>
      <w:lang w:val="en-US" w:eastAsia="en-US"/>
    </w:rPr>
  </w:style>
  <w:style w:type="paragraph" w:customStyle="1" w:styleId="LWSub3">
    <w:name w:val="LWSub3"/>
    <w:basedOn w:val="Heading3"/>
    <w:link w:val="LWSub3Char"/>
    <w:qFormat/>
    <w:rsid w:val="00106E07"/>
    <w:rPr>
      <w:rFonts w:cs="Arial"/>
      <w:b/>
      <w:color w:val="5D3754"/>
      <w:lang w:val="en-GB"/>
    </w:rPr>
  </w:style>
  <w:style w:type="character" w:customStyle="1" w:styleId="LWSub2Char">
    <w:name w:val="LWSub2 Char"/>
    <w:basedOn w:val="Heading3Char"/>
    <w:link w:val="LWSub2"/>
    <w:rsid w:val="00106E07"/>
    <w:rPr>
      <w:rFonts w:ascii="Arial" w:eastAsia="Times New Roman" w:hAnsi="Arial" w:cs="Arial"/>
      <w:b/>
      <w:bCs/>
      <w:color w:val="F6C65C"/>
      <w:sz w:val="24"/>
      <w:szCs w:val="22"/>
      <w:lang w:val="en-US" w:eastAsia="en-US"/>
    </w:rPr>
  </w:style>
  <w:style w:type="paragraph" w:customStyle="1" w:styleId="LWSub4">
    <w:name w:val="LWSub4"/>
    <w:basedOn w:val="Heading6"/>
    <w:link w:val="LWSub4Char"/>
    <w:qFormat/>
    <w:rsid w:val="00C6050F"/>
    <w:rPr>
      <w:rFonts w:ascii="Arial" w:eastAsia="Times New Roman" w:hAnsi="Arial" w:cs="Arial"/>
      <w:b/>
      <w:bCs/>
      <w:i w:val="0"/>
      <w:color w:val="A02140"/>
      <w:sz w:val="24"/>
    </w:rPr>
  </w:style>
  <w:style w:type="character" w:customStyle="1" w:styleId="LWSub3Char">
    <w:name w:val="LWSub3 Char"/>
    <w:basedOn w:val="Heading3Char"/>
    <w:link w:val="LWSub3"/>
    <w:rsid w:val="00106E07"/>
    <w:rPr>
      <w:rFonts w:ascii="Arial" w:eastAsia="Times New Roman" w:hAnsi="Arial" w:cs="Arial"/>
      <w:b/>
      <w:bCs/>
      <w:color w:val="5D3754"/>
      <w:sz w:val="24"/>
      <w:szCs w:val="22"/>
      <w:lang w:val="en-US" w:eastAsia="en-US"/>
    </w:rPr>
  </w:style>
  <w:style w:type="paragraph" w:customStyle="1" w:styleId="LWSub5">
    <w:name w:val="LWSub5"/>
    <w:basedOn w:val="Heading3"/>
    <w:link w:val="LWSub5Char"/>
    <w:qFormat/>
    <w:rsid w:val="00C35F4A"/>
    <w:rPr>
      <w:rFonts w:cs="Arial"/>
      <w:b/>
      <w:color w:val="264C59"/>
      <w:lang w:val="en-GB"/>
    </w:rPr>
  </w:style>
  <w:style w:type="character" w:customStyle="1" w:styleId="LWSub4Char">
    <w:name w:val="LWSub4 Char"/>
    <w:basedOn w:val="Heading3Char"/>
    <w:link w:val="LWSub4"/>
    <w:rsid w:val="00C6050F"/>
    <w:rPr>
      <w:rFonts w:ascii="Arial" w:eastAsia="Times New Roman" w:hAnsi="Arial" w:cs="Arial"/>
      <w:b/>
      <w:bCs/>
      <w:iCs/>
      <w:color w:val="A02140"/>
      <w:sz w:val="24"/>
      <w:szCs w:val="22"/>
      <w:lang w:val="en-US" w:eastAsia="en-US"/>
    </w:rPr>
  </w:style>
  <w:style w:type="paragraph" w:customStyle="1" w:styleId="LWSub6">
    <w:name w:val="LWSub6"/>
    <w:basedOn w:val="Heading3"/>
    <w:link w:val="LWSub6Char"/>
    <w:qFormat/>
    <w:rsid w:val="00C35F4A"/>
    <w:rPr>
      <w:rFonts w:cs="Arial"/>
      <w:b/>
      <w:color w:val="4D4D4D"/>
      <w:lang w:val="en-GB"/>
    </w:rPr>
  </w:style>
  <w:style w:type="character" w:customStyle="1" w:styleId="LWSub5Char">
    <w:name w:val="LWSub5 Char"/>
    <w:basedOn w:val="Heading3Char"/>
    <w:link w:val="LWSub5"/>
    <w:rsid w:val="00C35F4A"/>
    <w:rPr>
      <w:rFonts w:ascii="Arial" w:eastAsia="Times New Roman" w:hAnsi="Arial" w:cs="Arial"/>
      <w:b/>
      <w:bCs/>
      <w:color w:val="264C59"/>
      <w:sz w:val="24"/>
      <w:szCs w:val="22"/>
      <w:lang w:val="en-US" w:eastAsia="en-US"/>
    </w:rPr>
  </w:style>
  <w:style w:type="paragraph" w:customStyle="1" w:styleId="LWTable1">
    <w:name w:val="LWTable1"/>
    <w:basedOn w:val="Normal"/>
    <w:link w:val="LWTable1Char"/>
    <w:qFormat/>
    <w:rsid w:val="00B55300"/>
    <w:rPr>
      <w:rFonts w:cs="Arial"/>
      <w:color w:val="FFFFFF" w:themeColor="background1"/>
      <w:sz w:val="24"/>
      <w:szCs w:val="24"/>
    </w:rPr>
  </w:style>
  <w:style w:type="character" w:customStyle="1" w:styleId="LWSub6Char">
    <w:name w:val="LWSub6 Char"/>
    <w:basedOn w:val="Heading3Char"/>
    <w:link w:val="LWSub6"/>
    <w:rsid w:val="00C35F4A"/>
    <w:rPr>
      <w:rFonts w:ascii="Arial" w:eastAsia="Times New Roman" w:hAnsi="Arial" w:cs="Arial"/>
      <w:b/>
      <w:bCs/>
      <w:color w:val="4D4D4D"/>
      <w:sz w:val="24"/>
      <w:szCs w:val="22"/>
      <w:lang w:val="en-US" w:eastAsia="en-US"/>
    </w:rPr>
  </w:style>
  <w:style w:type="character" w:customStyle="1" w:styleId="LWTable1Char">
    <w:name w:val="LWTable1 Char"/>
    <w:basedOn w:val="Heading1Char"/>
    <w:link w:val="LWTable1"/>
    <w:rsid w:val="006D3F16"/>
    <w:rPr>
      <w:rFonts w:ascii="Arial" w:eastAsia="Times New Roman" w:hAnsi="Arial" w:cs="Arial"/>
      <w:b w:val="0"/>
      <w:bCs w:val="0"/>
      <w:color w:val="FFFFFF" w:themeColor="background1"/>
      <w:sz w:val="24"/>
      <w:szCs w:val="24"/>
      <w:lang w:val="en-US" w:eastAsia="en-US"/>
    </w:rPr>
  </w:style>
  <w:style w:type="paragraph" w:styleId="TOAHeading">
    <w:name w:val="toa heading"/>
    <w:basedOn w:val="Normal"/>
    <w:next w:val="Normal"/>
    <w:uiPriority w:val="99"/>
    <w:semiHidden/>
    <w:unhideWhenUsed/>
    <w:rsid w:val="00817C9A"/>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semiHidden/>
    <w:unhideWhenUsed/>
    <w:locked/>
    <w:rsid w:val="00DF7D4C"/>
    <w:pPr>
      <w:spacing w:after="100"/>
      <w:ind w:left="600"/>
    </w:pPr>
    <w:rPr>
      <w:sz w:val="24"/>
    </w:rPr>
  </w:style>
  <w:style w:type="paragraph" w:styleId="TOC5">
    <w:name w:val="toc 5"/>
    <w:basedOn w:val="Normal"/>
    <w:next w:val="Normal"/>
    <w:autoRedefine/>
    <w:semiHidden/>
    <w:unhideWhenUsed/>
    <w:locked/>
    <w:rsid w:val="00DF7D4C"/>
    <w:pPr>
      <w:spacing w:after="100"/>
      <w:ind w:left="800"/>
    </w:pPr>
    <w:rPr>
      <w:sz w:val="24"/>
    </w:rPr>
  </w:style>
  <w:style w:type="character" w:styleId="UnresolvedMention">
    <w:name w:val="Unresolved Mention"/>
    <w:basedOn w:val="DefaultParagraphFont"/>
    <w:uiPriority w:val="99"/>
    <w:semiHidden/>
    <w:unhideWhenUsed/>
    <w:rsid w:val="00E002EC"/>
    <w:rPr>
      <w:color w:val="605E5C"/>
      <w:shd w:val="clear" w:color="auto" w:fill="E1DFDD"/>
    </w:rPr>
  </w:style>
  <w:style w:type="paragraph" w:styleId="Revision">
    <w:name w:val="Revision"/>
    <w:hidden/>
    <w:uiPriority w:val="99"/>
    <w:semiHidden/>
    <w:rsid w:val="00E002EC"/>
    <w:rPr>
      <w:rFonts w:ascii="Arial" w:hAnsi="Arial"/>
      <w:szCs w:val="22"/>
      <w:lang w:val="en-US" w:eastAsia="en-US"/>
    </w:rPr>
  </w:style>
  <w:style w:type="character" w:styleId="Mention">
    <w:name w:val="Mention"/>
    <w:basedOn w:val="DefaultParagraphFont"/>
    <w:uiPriority w:val="99"/>
    <w:unhideWhenUsed/>
    <w:rsid w:val="00E002EC"/>
    <w:rPr>
      <w:color w:val="2B579A"/>
      <w:shd w:val="clear" w:color="auto" w:fill="E1DFDD"/>
    </w:rPr>
  </w:style>
  <w:style w:type="character" w:customStyle="1" w:styleId="cf01">
    <w:name w:val="cf01"/>
    <w:basedOn w:val="DefaultParagraphFont"/>
    <w:rsid w:val="00DC478E"/>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473446">
      <w:bodyDiv w:val="1"/>
      <w:marLeft w:val="0"/>
      <w:marRight w:val="0"/>
      <w:marTop w:val="0"/>
      <w:marBottom w:val="0"/>
      <w:divBdr>
        <w:top w:val="none" w:sz="0" w:space="0" w:color="auto"/>
        <w:left w:val="none" w:sz="0" w:space="0" w:color="auto"/>
        <w:bottom w:val="none" w:sz="0" w:space="0" w:color="auto"/>
        <w:right w:val="none" w:sz="0" w:space="0" w:color="auto"/>
      </w:divBdr>
    </w:div>
    <w:div w:id="391002593">
      <w:bodyDiv w:val="1"/>
      <w:marLeft w:val="0"/>
      <w:marRight w:val="0"/>
      <w:marTop w:val="0"/>
      <w:marBottom w:val="0"/>
      <w:divBdr>
        <w:top w:val="none" w:sz="0" w:space="0" w:color="auto"/>
        <w:left w:val="none" w:sz="0" w:space="0" w:color="auto"/>
        <w:bottom w:val="none" w:sz="0" w:space="0" w:color="auto"/>
        <w:right w:val="none" w:sz="0" w:space="0" w:color="auto"/>
      </w:divBdr>
    </w:div>
    <w:div w:id="438839252">
      <w:bodyDiv w:val="1"/>
      <w:marLeft w:val="0"/>
      <w:marRight w:val="0"/>
      <w:marTop w:val="0"/>
      <w:marBottom w:val="0"/>
      <w:divBdr>
        <w:top w:val="none" w:sz="0" w:space="0" w:color="auto"/>
        <w:left w:val="none" w:sz="0" w:space="0" w:color="auto"/>
        <w:bottom w:val="none" w:sz="0" w:space="0" w:color="auto"/>
        <w:right w:val="none" w:sz="0" w:space="0" w:color="auto"/>
      </w:divBdr>
    </w:div>
    <w:div w:id="629553938">
      <w:bodyDiv w:val="1"/>
      <w:marLeft w:val="0"/>
      <w:marRight w:val="0"/>
      <w:marTop w:val="0"/>
      <w:marBottom w:val="0"/>
      <w:divBdr>
        <w:top w:val="none" w:sz="0" w:space="0" w:color="auto"/>
        <w:left w:val="none" w:sz="0" w:space="0" w:color="auto"/>
        <w:bottom w:val="none" w:sz="0" w:space="0" w:color="auto"/>
        <w:right w:val="none" w:sz="0" w:space="0" w:color="auto"/>
      </w:divBdr>
    </w:div>
    <w:div w:id="765031584">
      <w:bodyDiv w:val="1"/>
      <w:marLeft w:val="0"/>
      <w:marRight w:val="0"/>
      <w:marTop w:val="0"/>
      <w:marBottom w:val="0"/>
      <w:divBdr>
        <w:top w:val="none" w:sz="0" w:space="0" w:color="auto"/>
        <w:left w:val="none" w:sz="0" w:space="0" w:color="auto"/>
        <w:bottom w:val="none" w:sz="0" w:space="0" w:color="auto"/>
        <w:right w:val="none" w:sz="0" w:space="0" w:color="auto"/>
      </w:divBdr>
      <w:divsChild>
        <w:div w:id="1235163534">
          <w:marLeft w:val="547"/>
          <w:marRight w:val="0"/>
          <w:marTop w:val="125"/>
          <w:marBottom w:val="0"/>
          <w:divBdr>
            <w:top w:val="none" w:sz="0" w:space="0" w:color="auto"/>
            <w:left w:val="none" w:sz="0" w:space="0" w:color="auto"/>
            <w:bottom w:val="none" w:sz="0" w:space="0" w:color="auto"/>
            <w:right w:val="none" w:sz="0" w:space="0" w:color="auto"/>
          </w:divBdr>
        </w:div>
        <w:div w:id="1269778125">
          <w:marLeft w:val="547"/>
          <w:marRight w:val="0"/>
          <w:marTop w:val="125"/>
          <w:marBottom w:val="0"/>
          <w:divBdr>
            <w:top w:val="none" w:sz="0" w:space="0" w:color="auto"/>
            <w:left w:val="none" w:sz="0" w:space="0" w:color="auto"/>
            <w:bottom w:val="none" w:sz="0" w:space="0" w:color="auto"/>
            <w:right w:val="none" w:sz="0" w:space="0" w:color="auto"/>
          </w:divBdr>
        </w:div>
        <w:div w:id="1687243102">
          <w:marLeft w:val="547"/>
          <w:marRight w:val="0"/>
          <w:marTop w:val="125"/>
          <w:marBottom w:val="0"/>
          <w:divBdr>
            <w:top w:val="none" w:sz="0" w:space="0" w:color="auto"/>
            <w:left w:val="none" w:sz="0" w:space="0" w:color="auto"/>
            <w:bottom w:val="none" w:sz="0" w:space="0" w:color="auto"/>
            <w:right w:val="none" w:sz="0" w:space="0" w:color="auto"/>
          </w:divBdr>
        </w:div>
        <w:div w:id="1718509886">
          <w:marLeft w:val="547"/>
          <w:marRight w:val="0"/>
          <w:marTop w:val="125"/>
          <w:marBottom w:val="0"/>
          <w:divBdr>
            <w:top w:val="none" w:sz="0" w:space="0" w:color="auto"/>
            <w:left w:val="none" w:sz="0" w:space="0" w:color="auto"/>
            <w:bottom w:val="none" w:sz="0" w:space="0" w:color="auto"/>
            <w:right w:val="none" w:sz="0" w:space="0" w:color="auto"/>
          </w:divBdr>
        </w:div>
      </w:divsChild>
    </w:div>
    <w:div w:id="771121659">
      <w:bodyDiv w:val="1"/>
      <w:marLeft w:val="0"/>
      <w:marRight w:val="0"/>
      <w:marTop w:val="0"/>
      <w:marBottom w:val="0"/>
      <w:divBdr>
        <w:top w:val="none" w:sz="0" w:space="0" w:color="auto"/>
        <w:left w:val="none" w:sz="0" w:space="0" w:color="auto"/>
        <w:bottom w:val="none" w:sz="0" w:space="0" w:color="auto"/>
        <w:right w:val="none" w:sz="0" w:space="0" w:color="auto"/>
      </w:divBdr>
    </w:div>
    <w:div w:id="1654870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learningandwork.org.u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_rels/footnotes.xml.rels><?xml version="1.0" encoding="UTF-8" standalone="yes"?>
<Relationships xmlns="http://schemas.openxmlformats.org/package/2006/relationships"><Relationship Id="rId3" Type="http://schemas.openxmlformats.org/officeDocument/2006/relationships/hyperlink" Target="https://annual-report.estyn.gov.wales/annual_report/adult-learning-in-the-community-2021-2022/" TargetMode="External"/><Relationship Id="rId2" Type="http://schemas.openxmlformats.org/officeDocument/2006/relationships/hyperlink" Target="https://annual-report.estyn.gov.wales/annual_report/adult-learning-in-the-community-2021-2022/" TargetMode="External"/><Relationship Id="rId1" Type="http://schemas.openxmlformats.org/officeDocument/2006/relationships/hyperlink" Target="https://www.gov.wales/programme-for-government-upd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er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CD93BC0AD95847AC9B88DE3639DA9D" ma:contentTypeVersion="16" ma:contentTypeDescription="Create a new document." ma:contentTypeScope="" ma:versionID="112da278d4ff5601a1408eecc8628a2f">
  <xsd:schema xmlns:xsd="http://www.w3.org/2001/XMLSchema" xmlns:xs="http://www.w3.org/2001/XMLSchema" xmlns:p="http://schemas.microsoft.com/office/2006/metadata/properties" xmlns:ns2="d4127354-1402-4f1d-ba7f-e03d5a775dfb" xmlns:ns3="88de1b44-4ae2-4c23-8dde-5547ba08a361" targetNamespace="http://schemas.microsoft.com/office/2006/metadata/properties" ma:root="true" ma:fieldsID="c54607b8f551bdea0a7936b94ec3eaed" ns2:_="" ns3:_="">
    <xsd:import namespace="d4127354-1402-4f1d-ba7f-e03d5a775dfb"/>
    <xsd:import namespace="88de1b44-4ae2-4c23-8dde-5547ba08a36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2" nillable="true" ma:displayName="Taxonomy Catch All Colum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8de1b44-4ae2-4c23-8dde-5547ba08a36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d4127354-1402-4f1d-ba7f-e03d5a775dfb">
      <UserInfo>
        <DisplayName>Jackie Woodhouse</DisplayName>
        <AccountId>194</AccountId>
        <AccountType/>
      </UserInfo>
      <UserInfo>
        <DisplayName>Helen Plant</DisplayName>
        <AccountId>7775</AccountId>
        <AccountType/>
      </UserInfo>
      <UserInfo>
        <DisplayName>Nisha Patel</DisplayName>
        <AccountId>61</AccountId>
        <AccountType/>
      </UserInfo>
      <UserInfo>
        <DisplayName>Wendy Ellaway-Lock</DisplayName>
        <AccountId>80</AccountId>
        <AccountType/>
      </UserInfo>
      <UserInfo>
        <DisplayName>Kay Smith</DisplayName>
        <AccountId>54</AccountId>
        <AccountType/>
      </UserInfo>
    </SharedWithUsers>
    <TaxCatchAll xmlns="d4127354-1402-4f1d-ba7f-e03d5a775dfb" xsi:nil="true"/>
    <lcf76f155ced4ddcb4097134ff3c332f xmlns="88de1b44-4ae2-4c23-8dde-5547ba08a36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888773-2402-46F5-AC3E-757A9BB436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88de1b44-4ae2-4c23-8dde-5547ba08a3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2E4079-B3B7-4F18-8654-CE821AF0F439}">
  <ds:schemaRefs>
    <ds:schemaRef ds:uri="http://schemas.openxmlformats.org/package/2006/metadata/core-properties"/>
    <ds:schemaRef ds:uri="http://schemas.microsoft.com/office/2006/metadata/properties"/>
    <ds:schemaRef ds:uri="http://schemas.microsoft.com/office/infopath/2007/PartnerControls"/>
    <ds:schemaRef ds:uri="http://www.w3.org/XML/1998/namespace"/>
    <ds:schemaRef ds:uri="http://purl.org/dc/elements/1.1/"/>
    <ds:schemaRef ds:uri="88de1b44-4ae2-4c23-8dde-5547ba08a361"/>
    <ds:schemaRef ds:uri="d4127354-1402-4f1d-ba7f-e03d5a775dfb"/>
    <ds:schemaRef ds:uri="http://purl.org/dc/terms/"/>
    <ds:schemaRef ds:uri="http://schemas.microsoft.com/office/2006/documentManagement/types"/>
    <ds:schemaRef ds:uri="http://purl.org/dc/dcmitype/"/>
  </ds:schemaRefs>
</ds:datastoreItem>
</file>

<file path=customXml/itemProps3.xml><?xml version="1.0" encoding="utf-8"?>
<ds:datastoreItem xmlns:ds="http://schemas.openxmlformats.org/officeDocument/2006/customXml" ds:itemID="{CC37A01E-042A-41BE-9A77-387674E134F6}">
  <ds:schemaRefs>
    <ds:schemaRef ds:uri="http://schemas.openxmlformats.org/officeDocument/2006/bibliography"/>
  </ds:schemaRefs>
</ds:datastoreItem>
</file>

<file path=customXml/itemProps4.xml><?xml version="1.0" encoding="utf-8"?>
<ds:datastoreItem xmlns:ds="http://schemas.openxmlformats.org/officeDocument/2006/customXml" ds:itemID="{186B9451-ECFB-487B-9FE3-8F7055648B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9954</Words>
  <Characters>56740</Characters>
  <Application>Microsoft Office Word</Application>
  <DocSecurity>0</DocSecurity>
  <Lines>472</Lines>
  <Paragraphs>133</Paragraphs>
  <ScaleCrop>false</ScaleCrop>
  <HeadingPairs>
    <vt:vector size="2" baseType="variant">
      <vt:variant>
        <vt:lpstr>Title</vt:lpstr>
      </vt:variant>
      <vt:variant>
        <vt:i4>1</vt:i4>
      </vt:variant>
    </vt:vector>
  </HeadingPairs>
  <TitlesOfParts>
    <vt:vector size="1" baseType="lpstr">
      <vt:lpstr/>
    </vt:vector>
  </TitlesOfParts>
  <Company>NIACE</Company>
  <LinksUpToDate>false</LinksUpToDate>
  <CharactersWithSpaces>66561</CharactersWithSpaces>
  <SharedDoc>false</SharedDoc>
  <HLinks>
    <vt:vector size="180" baseType="variant">
      <vt:variant>
        <vt:i4>1966140</vt:i4>
      </vt:variant>
      <vt:variant>
        <vt:i4>155</vt:i4>
      </vt:variant>
      <vt:variant>
        <vt:i4>0</vt:i4>
      </vt:variant>
      <vt:variant>
        <vt:i4>5</vt:i4>
      </vt:variant>
      <vt:variant>
        <vt:lpwstr/>
      </vt:variant>
      <vt:variant>
        <vt:lpwstr>_Toc133569863</vt:lpwstr>
      </vt:variant>
      <vt:variant>
        <vt:i4>1966140</vt:i4>
      </vt:variant>
      <vt:variant>
        <vt:i4>149</vt:i4>
      </vt:variant>
      <vt:variant>
        <vt:i4>0</vt:i4>
      </vt:variant>
      <vt:variant>
        <vt:i4>5</vt:i4>
      </vt:variant>
      <vt:variant>
        <vt:lpwstr/>
      </vt:variant>
      <vt:variant>
        <vt:lpwstr>_Toc133569862</vt:lpwstr>
      </vt:variant>
      <vt:variant>
        <vt:i4>1966140</vt:i4>
      </vt:variant>
      <vt:variant>
        <vt:i4>143</vt:i4>
      </vt:variant>
      <vt:variant>
        <vt:i4>0</vt:i4>
      </vt:variant>
      <vt:variant>
        <vt:i4>5</vt:i4>
      </vt:variant>
      <vt:variant>
        <vt:lpwstr/>
      </vt:variant>
      <vt:variant>
        <vt:lpwstr>_Toc133569861</vt:lpwstr>
      </vt:variant>
      <vt:variant>
        <vt:i4>1966140</vt:i4>
      </vt:variant>
      <vt:variant>
        <vt:i4>137</vt:i4>
      </vt:variant>
      <vt:variant>
        <vt:i4>0</vt:i4>
      </vt:variant>
      <vt:variant>
        <vt:i4>5</vt:i4>
      </vt:variant>
      <vt:variant>
        <vt:lpwstr/>
      </vt:variant>
      <vt:variant>
        <vt:lpwstr>_Toc133569860</vt:lpwstr>
      </vt:variant>
      <vt:variant>
        <vt:i4>1900604</vt:i4>
      </vt:variant>
      <vt:variant>
        <vt:i4>131</vt:i4>
      </vt:variant>
      <vt:variant>
        <vt:i4>0</vt:i4>
      </vt:variant>
      <vt:variant>
        <vt:i4>5</vt:i4>
      </vt:variant>
      <vt:variant>
        <vt:lpwstr/>
      </vt:variant>
      <vt:variant>
        <vt:lpwstr>_Toc133569859</vt:lpwstr>
      </vt:variant>
      <vt:variant>
        <vt:i4>1900604</vt:i4>
      </vt:variant>
      <vt:variant>
        <vt:i4>125</vt:i4>
      </vt:variant>
      <vt:variant>
        <vt:i4>0</vt:i4>
      </vt:variant>
      <vt:variant>
        <vt:i4>5</vt:i4>
      </vt:variant>
      <vt:variant>
        <vt:lpwstr/>
      </vt:variant>
      <vt:variant>
        <vt:lpwstr>_Toc133569858</vt:lpwstr>
      </vt:variant>
      <vt:variant>
        <vt:i4>1900604</vt:i4>
      </vt:variant>
      <vt:variant>
        <vt:i4>119</vt:i4>
      </vt:variant>
      <vt:variant>
        <vt:i4>0</vt:i4>
      </vt:variant>
      <vt:variant>
        <vt:i4>5</vt:i4>
      </vt:variant>
      <vt:variant>
        <vt:lpwstr/>
      </vt:variant>
      <vt:variant>
        <vt:lpwstr>_Toc133569857</vt:lpwstr>
      </vt:variant>
      <vt:variant>
        <vt:i4>1900604</vt:i4>
      </vt:variant>
      <vt:variant>
        <vt:i4>113</vt:i4>
      </vt:variant>
      <vt:variant>
        <vt:i4>0</vt:i4>
      </vt:variant>
      <vt:variant>
        <vt:i4>5</vt:i4>
      </vt:variant>
      <vt:variant>
        <vt:lpwstr/>
      </vt:variant>
      <vt:variant>
        <vt:lpwstr>_Toc133569856</vt:lpwstr>
      </vt:variant>
      <vt:variant>
        <vt:i4>1900604</vt:i4>
      </vt:variant>
      <vt:variant>
        <vt:i4>107</vt:i4>
      </vt:variant>
      <vt:variant>
        <vt:i4>0</vt:i4>
      </vt:variant>
      <vt:variant>
        <vt:i4>5</vt:i4>
      </vt:variant>
      <vt:variant>
        <vt:lpwstr/>
      </vt:variant>
      <vt:variant>
        <vt:lpwstr>_Toc133569855</vt:lpwstr>
      </vt:variant>
      <vt:variant>
        <vt:i4>1900604</vt:i4>
      </vt:variant>
      <vt:variant>
        <vt:i4>101</vt:i4>
      </vt:variant>
      <vt:variant>
        <vt:i4>0</vt:i4>
      </vt:variant>
      <vt:variant>
        <vt:i4>5</vt:i4>
      </vt:variant>
      <vt:variant>
        <vt:lpwstr/>
      </vt:variant>
      <vt:variant>
        <vt:lpwstr>_Toc133569854</vt:lpwstr>
      </vt:variant>
      <vt:variant>
        <vt:i4>1900604</vt:i4>
      </vt:variant>
      <vt:variant>
        <vt:i4>95</vt:i4>
      </vt:variant>
      <vt:variant>
        <vt:i4>0</vt:i4>
      </vt:variant>
      <vt:variant>
        <vt:i4>5</vt:i4>
      </vt:variant>
      <vt:variant>
        <vt:lpwstr/>
      </vt:variant>
      <vt:variant>
        <vt:lpwstr>_Toc133569853</vt:lpwstr>
      </vt:variant>
      <vt:variant>
        <vt:i4>1900604</vt:i4>
      </vt:variant>
      <vt:variant>
        <vt:i4>89</vt:i4>
      </vt:variant>
      <vt:variant>
        <vt:i4>0</vt:i4>
      </vt:variant>
      <vt:variant>
        <vt:i4>5</vt:i4>
      </vt:variant>
      <vt:variant>
        <vt:lpwstr/>
      </vt:variant>
      <vt:variant>
        <vt:lpwstr>_Toc133569852</vt:lpwstr>
      </vt:variant>
      <vt:variant>
        <vt:i4>1900604</vt:i4>
      </vt:variant>
      <vt:variant>
        <vt:i4>83</vt:i4>
      </vt:variant>
      <vt:variant>
        <vt:i4>0</vt:i4>
      </vt:variant>
      <vt:variant>
        <vt:i4>5</vt:i4>
      </vt:variant>
      <vt:variant>
        <vt:lpwstr/>
      </vt:variant>
      <vt:variant>
        <vt:lpwstr>_Toc133569851</vt:lpwstr>
      </vt:variant>
      <vt:variant>
        <vt:i4>1900604</vt:i4>
      </vt:variant>
      <vt:variant>
        <vt:i4>77</vt:i4>
      </vt:variant>
      <vt:variant>
        <vt:i4>0</vt:i4>
      </vt:variant>
      <vt:variant>
        <vt:i4>5</vt:i4>
      </vt:variant>
      <vt:variant>
        <vt:lpwstr/>
      </vt:variant>
      <vt:variant>
        <vt:lpwstr>_Toc133569850</vt:lpwstr>
      </vt:variant>
      <vt:variant>
        <vt:i4>1835068</vt:i4>
      </vt:variant>
      <vt:variant>
        <vt:i4>71</vt:i4>
      </vt:variant>
      <vt:variant>
        <vt:i4>0</vt:i4>
      </vt:variant>
      <vt:variant>
        <vt:i4>5</vt:i4>
      </vt:variant>
      <vt:variant>
        <vt:lpwstr/>
      </vt:variant>
      <vt:variant>
        <vt:lpwstr>_Toc133569849</vt:lpwstr>
      </vt:variant>
      <vt:variant>
        <vt:i4>1835068</vt:i4>
      </vt:variant>
      <vt:variant>
        <vt:i4>65</vt:i4>
      </vt:variant>
      <vt:variant>
        <vt:i4>0</vt:i4>
      </vt:variant>
      <vt:variant>
        <vt:i4>5</vt:i4>
      </vt:variant>
      <vt:variant>
        <vt:lpwstr/>
      </vt:variant>
      <vt:variant>
        <vt:lpwstr>_Toc133569848</vt:lpwstr>
      </vt:variant>
      <vt:variant>
        <vt:i4>1835068</vt:i4>
      </vt:variant>
      <vt:variant>
        <vt:i4>59</vt:i4>
      </vt:variant>
      <vt:variant>
        <vt:i4>0</vt:i4>
      </vt:variant>
      <vt:variant>
        <vt:i4>5</vt:i4>
      </vt:variant>
      <vt:variant>
        <vt:lpwstr/>
      </vt:variant>
      <vt:variant>
        <vt:lpwstr>_Toc133569847</vt:lpwstr>
      </vt:variant>
      <vt:variant>
        <vt:i4>1835068</vt:i4>
      </vt:variant>
      <vt:variant>
        <vt:i4>53</vt:i4>
      </vt:variant>
      <vt:variant>
        <vt:i4>0</vt:i4>
      </vt:variant>
      <vt:variant>
        <vt:i4>5</vt:i4>
      </vt:variant>
      <vt:variant>
        <vt:lpwstr/>
      </vt:variant>
      <vt:variant>
        <vt:lpwstr>_Toc133569846</vt:lpwstr>
      </vt:variant>
      <vt:variant>
        <vt:i4>1835068</vt:i4>
      </vt:variant>
      <vt:variant>
        <vt:i4>47</vt:i4>
      </vt:variant>
      <vt:variant>
        <vt:i4>0</vt:i4>
      </vt:variant>
      <vt:variant>
        <vt:i4>5</vt:i4>
      </vt:variant>
      <vt:variant>
        <vt:lpwstr/>
      </vt:variant>
      <vt:variant>
        <vt:lpwstr>_Toc133569845</vt:lpwstr>
      </vt:variant>
      <vt:variant>
        <vt:i4>1835068</vt:i4>
      </vt:variant>
      <vt:variant>
        <vt:i4>41</vt:i4>
      </vt:variant>
      <vt:variant>
        <vt:i4>0</vt:i4>
      </vt:variant>
      <vt:variant>
        <vt:i4>5</vt:i4>
      </vt:variant>
      <vt:variant>
        <vt:lpwstr/>
      </vt:variant>
      <vt:variant>
        <vt:lpwstr>_Toc133569844</vt:lpwstr>
      </vt:variant>
      <vt:variant>
        <vt:i4>1835068</vt:i4>
      </vt:variant>
      <vt:variant>
        <vt:i4>35</vt:i4>
      </vt:variant>
      <vt:variant>
        <vt:i4>0</vt:i4>
      </vt:variant>
      <vt:variant>
        <vt:i4>5</vt:i4>
      </vt:variant>
      <vt:variant>
        <vt:lpwstr/>
      </vt:variant>
      <vt:variant>
        <vt:lpwstr>_Toc133569843</vt:lpwstr>
      </vt:variant>
      <vt:variant>
        <vt:i4>1835068</vt:i4>
      </vt:variant>
      <vt:variant>
        <vt:i4>29</vt:i4>
      </vt:variant>
      <vt:variant>
        <vt:i4>0</vt:i4>
      </vt:variant>
      <vt:variant>
        <vt:i4>5</vt:i4>
      </vt:variant>
      <vt:variant>
        <vt:lpwstr/>
      </vt:variant>
      <vt:variant>
        <vt:lpwstr>_Toc133569842</vt:lpwstr>
      </vt:variant>
      <vt:variant>
        <vt:i4>1835068</vt:i4>
      </vt:variant>
      <vt:variant>
        <vt:i4>23</vt:i4>
      </vt:variant>
      <vt:variant>
        <vt:i4>0</vt:i4>
      </vt:variant>
      <vt:variant>
        <vt:i4>5</vt:i4>
      </vt:variant>
      <vt:variant>
        <vt:lpwstr/>
      </vt:variant>
      <vt:variant>
        <vt:lpwstr>_Toc133569841</vt:lpwstr>
      </vt:variant>
      <vt:variant>
        <vt:i4>1835068</vt:i4>
      </vt:variant>
      <vt:variant>
        <vt:i4>17</vt:i4>
      </vt:variant>
      <vt:variant>
        <vt:i4>0</vt:i4>
      </vt:variant>
      <vt:variant>
        <vt:i4>5</vt:i4>
      </vt:variant>
      <vt:variant>
        <vt:lpwstr/>
      </vt:variant>
      <vt:variant>
        <vt:lpwstr>_Toc133569840</vt:lpwstr>
      </vt:variant>
      <vt:variant>
        <vt:i4>1769532</vt:i4>
      </vt:variant>
      <vt:variant>
        <vt:i4>11</vt:i4>
      </vt:variant>
      <vt:variant>
        <vt:i4>0</vt:i4>
      </vt:variant>
      <vt:variant>
        <vt:i4>5</vt:i4>
      </vt:variant>
      <vt:variant>
        <vt:lpwstr/>
      </vt:variant>
      <vt:variant>
        <vt:lpwstr>_Toc133569839</vt:lpwstr>
      </vt:variant>
      <vt:variant>
        <vt:i4>1769532</vt:i4>
      </vt:variant>
      <vt:variant>
        <vt:i4>5</vt:i4>
      </vt:variant>
      <vt:variant>
        <vt:i4>0</vt:i4>
      </vt:variant>
      <vt:variant>
        <vt:i4>5</vt:i4>
      </vt:variant>
      <vt:variant>
        <vt:lpwstr/>
      </vt:variant>
      <vt:variant>
        <vt:lpwstr>_Toc133569838</vt:lpwstr>
      </vt:variant>
      <vt:variant>
        <vt:i4>7667771</vt:i4>
      </vt:variant>
      <vt:variant>
        <vt:i4>0</vt:i4>
      </vt:variant>
      <vt:variant>
        <vt:i4>0</vt:i4>
      </vt:variant>
      <vt:variant>
        <vt:i4>5</vt:i4>
      </vt:variant>
      <vt:variant>
        <vt:lpwstr>http://www.learningandwork.org.uk/</vt:lpwstr>
      </vt:variant>
      <vt:variant>
        <vt:lpwstr/>
      </vt:variant>
      <vt:variant>
        <vt:i4>7864399</vt:i4>
      </vt:variant>
      <vt:variant>
        <vt:i4>6</vt:i4>
      </vt:variant>
      <vt:variant>
        <vt:i4>0</vt:i4>
      </vt:variant>
      <vt:variant>
        <vt:i4>5</vt:i4>
      </vt:variant>
      <vt:variant>
        <vt:lpwstr>https://annual-report.estyn.gov.wales/annual_report/adult-learning-in-the-community-2021-2022/</vt:lpwstr>
      </vt:variant>
      <vt:variant>
        <vt:lpwstr/>
      </vt:variant>
      <vt:variant>
        <vt:i4>7864399</vt:i4>
      </vt:variant>
      <vt:variant>
        <vt:i4>3</vt:i4>
      </vt:variant>
      <vt:variant>
        <vt:i4>0</vt:i4>
      </vt:variant>
      <vt:variant>
        <vt:i4>5</vt:i4>
      </vt:variant>
      <vt:variant>
        <vt:lpwstr>https://annual-report.estyn.gov.wales/annual_report/adult-learning-in-the-community-2021-2022/</vt:lpwstr>
      </vt:variant>
      <vt:variant>
        <vt:lpwstr/>
      </vt:variant>
      <vt:variant>
        <vt:i4>4456468</vt:i4>
      </vt:variant>
      <vt:variant>
        <vt:i4>0</vt:i4>
      </vt:variant>
      <vt:variant>
        <vt:i4>0</vt:i4>
      </vt:variant>
      <vt:variant>
        <vt:i4>5</vt:i4>
      </vt:variant>
      <vt:variant>
        <vt:lpwstr>https://www.gov.wales/programme-for-government-update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emily.jones</dc:creator>
  <cp:keywords/>
  <cp:lastModifiedBy>Nisha Patel</cp:lastModifiedBy>
  <cp:revision>2</cp:revision>
  <cp:lastPrinted>2014-07-14T02:32:00Z</cp:lastPrinted>
  <dcterms:created xsi:type="dcterms:W3CDTF">2023-04-28T14:28:00Z</dcterms:created>
  <dcterms:modified xsi:type="dcterms:W3CDTF">2023-04-28T14:28:00Z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0x0101001DCD93BC0AD95847AC9B88DE3639DA9D</vt:lpwstr>
  </property>
  <property fmtid="{D5CDD505-2E9C-101B-9397-08002B2CF9AE}" pid="3" name="IsMyDocuments">
    <vt:bool>true</vt:bool>
  </property>
  <property fmtid="{D5CDD505-2E9C-101B-9397-08002B2CF9AE}" pid="4" name="AuthorIds_UIVersion_512">
    <vt:lpwstr>46</vt:lpwstr>
  </property>
  <property fmtid="{D5CDD505-2E9C-101B-9397-08002B2CF9AE}" pid="5" name="Order">
    <vt:r8>1527800</vt:r8>
  </property>
  <property fmtid="{D5CDD505-2E9C-101B-9397-08002B2CF9AE}" pid="6" name="xd_Signature">
    <vt:bool>false</vt:bool>
  </property>
  <property fmtid="{D5CDD505-2E9C-101B-9397-08002B2CF9AE}" pid="7" name="xd_ProgID">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