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4DB9" w14:textId="77777777" w:rsidR="1562FB32" w:rsidRDefault="2D4C8088" w:rsidP="1C824CA2">
      <w:r w:rsidRPr="1C824CA2">
        <w:rPr>
          <w:rFonts w:ascii="Aptos" w:eastAsia="Aptos" w:hAnsi="Aptos" w:cs="Aptos"/>
          <w:b/>
          <w:bCs/>
          <w:sz w:val="36"/>
          <w:szCs w:val="36"/>
        </w:rPr>
        <w:t>Key</w:t>
      </w:r>
      <w:r w:rsidR="4907BD2E" w:rsidRPr="1C824CA2">
        <w:rPr>
          <w:rFonts w:ascii="Aptos" w:eastAsia="Aptos" w:hAnsi="Aptos" w:cs="Aptos"/>
          <w:b/>
          <w:bCs/>
          <w:sz w:val="36"/>
          <w:szCs w:val="36"/>
        </w:rPr>
        <w:t xml:space="preserve"> Findings</w:t>
      </w:r>
    </w:p>
    <w:p w14:paraId="1BBD689C" w14:textId="0FEFE075" w:rsidR="39507797" w:rsidRDefault="39507797" w:rsidP="1C824CA2">
      <w:pPr>
        <w:spacing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 xml:space="preserve">The ACL Partnership Data and Progression Task and Finish Group </w:t>
      </w:r>
      <w:proofErr w:type="gramStart"/>
      <w:r w:rsidRPr="1C824CA2">
        <w:rPr>
          <w:rFonts w:ascii="Aptos" w:eastAsia="Aptos" w:hAnsi="Aptos" w:cs="Aptos"/>
        </w:rPr>
        <w:t>has</w:t>
      </w:r>
      <w:proofErr w:type="gramEnd"/>
      <w:r w:rsidRPr="1C824CA2">
        <w:rPr>
          <w:rFonts w:ascii="Aptos" w:eastAsia="Aptos" w:hAnsi="Aptos" w:cs="Aptos"/>
        </w:rPr>
        <w:t xml:space="preserve"> five key aims outlined in its </w:t>
      </w:r>
      <w:r w:rsidRPr="1C824CA2">
        <w:rPr>
          <w:rFonts w:ascii="Aptos" w:eastAsia="Aptos" w:hAnsi="Aptos" w:cs="Aptos"/>
          <w:b/>
          <w:bCs/>
        </w:rPr>
        <w:t>Terms of Reference</w:t>
      </w:r>
      <w:r w:rsidRPr="1C824CA2">
        <w:rPr>
          <w:rFonts w:ascii="Aptos" w:eastAsia="Aptos" w:hAnsi="Aptos" w:cs="Aptos"/>
        </w:rPr>
        <w:t xml:space="preserve">. Based on the notes from the June and August 2025 meetings, here are the relevant findings for discussion at the next meeting, </w:t>
      </w:r>
      <w:r w:rsidR="48DBEA6C" w:rsidRPr="30CFDED9">
        <w:rPr>
          <w:rFonts w:ascii="Aptos" w:eastAsia="Aptos" w:hAnsi="Aptos" w:cs="Aptos"/>
        </w:rPr>
        <w:t>categori</w:t>
      </w:r>
      <w:r w:rsidR="582C44DC" w:rsidRPr="30CFDED9">
        <w:rPr>
          <w:rFonts w:ascii="Aptos" w:eastAsia="Aptos" w:hAnsi="Aptos" w:cs="Aptos"/>
        </w:rPr>
        <w:t>s</w:t>
      </w:r>
      <w:r w:rsidR="48DBEA6C" w:rsidRPr="30CFDED9">
        <w:rPr>
          <w:rFonts w:ascii="Aptos" w:eastAsia="Aptos" w:hAnsi="Aptos" w:cs="Aptos"/>
        </w:rPr>
        <w:t>ed</w:t>
      </w:r>
      <w:r w:rsidRPr="1C824CA2">
        <w:rPr>
          <w:rFonts w:ascii="Aptos" w:eastAsia="Aptos" w:hAnsi="Aptos" w:cs="Aptos"/>
        </w:rPr>
        <w:t xml:space="preserve"> by the group's aims:</w:t>
      </w:r>
    </w:p>
    <w:p w14:paraId="4C62D734" w14:textId="77777777" w:rsidR="39507797" w:rsidRDefault="39507797" w:rsidP="1C824CA2">
      <w:pPr>
        <w:rPr>
          <w:rFonts w:ascii="Aptos" w:eastAsia="Aptos" w:hAnsi="Aptos" w:cs="Aptos"/>
          <w:b/>
          <w:bCs/>
        </w:rPr>
      </w:pPr>
      <w:r w:rsidRPr="1C824CA2">
        <w:rPr>
          <w:b/>
          <w:bCs/>
        </w:rPr>
        <w:t>Key Aim 1: Understand Local Needs, Gaps, and Demands &amp; Use Available Data</w:t>
      </w:r>
    </w:p>
    <w:p w14:paraId="06E6CF05" w14:textId="77777777" w:rsidR="39507797" w:rsidRDefault="39507797" w:rsidP="1562FB32">
      <w:pPr>
        <w:spacing w:after="240"/>
      </w:pPr>
      <w:r w:rsidRPr="1562FB32">
        <w:rPr>
          <w:rFonts w:ascii="Aptos" w:eastAsia="Aptos" w:hAnsi="Aptos" w:cs="Aptos"/>
        </w:rPr>
        <w:t>This aim focuses on using data to understand the overall picture of Adult Community Learning (ACL) provision.</w:t>
      </w:r>
    </w:p>
    <w:p w14:paraId="5FA0A039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Findings</w:t>
      </w:r>
    </w:p>
    <w:p w14:paraId="302F8765" w14:textId="77777777" w:rsidR="39507797" w:rsidRDefault="39507797" w:rsidP="1C824CA2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Data:</w:t>
      </w:r>
      <w:r w:rsidRPr="1C824CA2">
        <w:rPr>
          <w:rFonts w:ascii="Aptos" w:eastAsia="Aptos" w:hAnsi="Aptos" w:cs="Aptos"/>
        </w:rPr>
        <w:t xml:space="preserve"> Current ACL data is inconsistent and makes it difficult to inform policy or funding. There is no baseline or real performance measures.</w:t>
      </w:r>
    </w:p>
    <w:p w14:paraId="2A69FB9E" w14:textId="77777777" w:rsidR="39507797" w:rsidRDefault="39507797" w:rsidP="1C824CA2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Progression:</w:t>
      </w:r>
      <w:r w:rsidRPr="1C824CA2">
        <w:rPr>
          <w:rFonts w:ascii="Aptos" w:eastAsia="Aptos" w:hAnsi="Aptos" w:cs="Aptos"/>
        </w:rPr>
        <w:t xml:space="preserve"> Existing data sources, such as the Learner Outcome Report (LOR) and the Lifelong Learning Wales Record (LLWR), are insufficient for effectively measuring learner progression.</w:t>
      </w:r>
    </w:p>
    <w:p w14:paraId="3EE6B2A4" w14:textId="77777777" w:rsidR="39507797" w:rsidRDefault="39507797" w:rsidP="1C824CA2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FE-Funded ACL:</w:t>
      </w:r>
      <w:r w:rsidRPr="1C824CA2">
        <w:rPr>
          <w:rFonts w:ascii="Aptos" w:eastAsia="Aptos" w:hAnsi="Aptos" w:cs="Aptos"/>
        </w:rPr>
        <w:t xml:space="preserve"> There is a risk of undercounting FE-funded ACL provision if it's not properly captured alongside ACL grant-funded provision.</w:t>
      </w:r>
    </w:p>
    <w:p w14:paraId="33601A0A" w14:textId="77777777" w:rsidR="39507797" w:rsidRDefault="39507797" w:rsidP="1C824CA2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Need for Holistic Picture (ESOL):</w:t>
      </w:r>
      <w:r w:rsidRPr="1C824CA2">
        <w:rPr>
          <w:rFonts w:ascii="Aptos" w:eastAsia="Aptos" w:hAnsi="Aptos" w:cs="Aptos"/>
        </w:rPr>
        <w:t xml:space="preserve"> Full-time ESOL (English for Speakers of Other Languages) is FE-funded but is inspected as part of ACL/Community inspections. There is a need for a holistic picture across all funding streams.</w:t>
      </w:r>
    </w:p>
    <w:p w14:paraId="08D3D105" w14:textId="77777777" w:rsidR="39507797" w:rsidRDefault="39507797" w:rsidP="1C824CA2">
      <w:pPr>
        <w:rPr>
          <w:rFonts w:ascii="Aptos" w:eastAsia="Aptos" w:hAnsi="Aptos" w:cs="Aptos"/>
          <w:b/>
          <w:bCs/>
        </w:rPr>
      </w:pPr>
      <w:r w:rsidRPr="1C824CA2">
        <w:rPr>
          <w:b/>
          <w:bCs/>
        </w:rPr>
        <w:t>Key Aim 2: Share Data, Collaborate, and Support Curriculum Planning</w:t>
      </w:r>
    </w:p>
    <w:p w14:paraId="4106690F" w14:textId="77777777" w:rsidR="39507797" w:rsidRDefault="39507797" w:rsidP="1C824CA2">
      <w:pPr>
        <w:spacing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This aim addresses the process and structure needed to collect and use data collectively.</w:t>
      </w:r>
    </w:p>
    <w:p w14:paraId="2DF93FCA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Findings</w:t>
      </w:r>
    </w:p>
    <w:p w14:paraId="4E10EBF8" w14:textId="77777777" w:rsidR="39507797" w:rsidRDefault="39507797" w:rsidP="1C824CA2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Shift to Partnership Plans:</w:t>
      </w:r>
      <w:r w:rsidRPr="1C824CA2">
        <w:rPr>
          <w:rFonts w:ascii="Aptos" w:eastAsia="Aptos" w:hAnsi="Aptos" w:cs="Aptos"/>
        </w:rPr>
        <w:t xml:space="preserve"> Medr is shifting from Local Authority plans to </w:t>
      </w:r>
      <w:r w:rsidRPr="1C824CA2">
        <w:rPr>
          <w:rFonts w:ascii="Aptos" w:eastAsia="Aptos" w:hAnsi="Aptos" w:cs="Aptos"/>
          <w:b/>
          <w:bCs/>
        </w:rPr>
        <w:t>Partnership plans</w:t>
      </w:r>
      <w:r w:rsidRPr="1C824CA2">
        <w:rPr>
          <w:rFonts w:ascii="Aptos" w:eastAsia="Aptos" w:hAnsi="Aptos" w:cs="Aptos"/>
        </w:rPr>
        <w:t xml:space="preserve"> for the 2025/26 academic year.</w:t>
      </w:r>
    </w:p>
    <w:p w14:paraId="7A395CC9" w14:textId="77777777" w:rsidR="39507797" w:rsidRDefault="39507797" w:rsidP="1C824CA2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New Data Requirements:</w:t>
      </w:r>
      <w:r w:rsidRPr="1C824CA2">
        <w:rPr>
          <w:rFonts w:ascii="Aptos" w:eastAsia="Aptos" w:hAnsi="Aptos" w:cs="Aptos"/>
        </w:rPr>
        <w:t xml:space="preserve"> New planning documents will be used to collect data on:</w:t>
      </w:r>
    </w:p>
    <w:p w14:paraId="05A9871B" w14:textId="77777777" w:rsidR="39507797" w:rsidRDefault="39507797" w:rsidP="1C824CA2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Planned delivery by priority area (Literacy, Numeracy, Digital, ESOL, other local priorities).</w:t>
      </w:r>
    </w:p>
    <w:p w14:paraId="53B0C27E" w14:textId="77777777" w:rsidR="39507797" w:rsidRDefault="39507797" w:rsidP="1C824CA2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Planned number of courses and learners.</w:t>
      </w:r>
    </w:p>
    <w:p w14:paraId="3F2231A4" w14:textId="77777777" w:rsidR="39507797" w:rsidRDefault="39507797" w:rsidP="1C824CA2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Delivery locations, ACL providers, and funding sources (including non-Community Learning Grant funds like Multiply).</w:t>
      </w:r>
    </w:p>
    <w:p w14:paraId="1DD74090" w14:textId="77777777" w:rsidR="39507797" w:rsidRDefault="39507797" w:rsidP="1C824CA2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lastRenderedPageBreak/>
        <w:t>Challenge of Duplication:</w:t>
      </w:r>
      <w:r w:rsidRPr="1C824CA2">
        <w:rPr>
          <w:rFonts w:ascii="Aptos" w:eastAsia="Aptos" w:hAnsi="Aptos" w:cs="Aptos"/>
        </w:rPr>
        <w:t xml:space="preserve"> Concerns were raised about data duplication for providers (like Adult Learning Wales) who receive both Further Education (FE) and ACL funding.</w:t>
      </w:r>
    </w:p>
    <w:p w14:paraId="65D4A1F0" w14:textId="77777777" w:rsidR="39507797" w:rsidRDefault="39507797" w:rsidP="1C824CA2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Challenge of Aggregation:</w:t>
      </w:r>
      <w:r w:rsidRPr="1C824CA2">
        <w:rPr>
          <w:rFonts w:ascii="Aptos" w:eastAsia="Aptos" w:hAnsi="Aptos" w:cs="Aptos"/>
        </w:rPr>
        <w:t xml:space="preserve"> The inconsistent structure of ACL partnerships makes it difficult to aggregate data.</w:t>
      </w:r>
    </w:p>
    <w:p w14:paraId="5B7EA340" w14:textId="64228E71" w:rsidR="7BD304AB" w:rsidRDefault="1C8B74D5" w:rsidP="7BD304AB">
      <w:pPr>
        <w:pStyle w:val="ListParagraph"/>
        <w:numPr>
          <w:ilvl w:val="0"/>
          <w:numId w:val="4"/>
        </w:numPr>
        <w:spacing w:before="240" w:after="240"/>
      </w:pPr>
      <w:r w:rsidRPr="0DB24C0E">
        <w:rPr>
          <w:b/>
          <w:bCs/>
        </w:rPr>
        <w:t>Non-accredited provision</w:t>
      </w:r>
      <w:r w:rsidRPr="15996964">
        <w:rPr>
          <w:b/>
          <w:bCs/>
        </w:rPr>
        <w:t>:</w:t>
      </w:r>
      <w:r>
        <w:t xml:space="preserve"> This is increasingly important but not well captured in existing planning models.</w:t>
      </w:r>
    </w:p>
    <w:p w14:paraId="295554EC" w14:textId="77777777" w:rsidR="39507797" w:rsidRDefault="39507797" w:rsidP="1C824CA2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GDPR and Data Sharing:</w:t>
      </w:r>
      <w:r w:rsidRPr="1C824CA2">
        <w:rPr>
          <w:rFonts w:ascii="Aptos" w:eastAsia="Aptos" w:hAnsi="Aptos" w:cs="Aptos"/>
        </w:rPr>
        <w:t xml:space="preserve"> The group needs to investigate individuals/organisations making inroads in GDPR compliance related to data sharing and collection.</w:t>
      </w:r>
    </w:p>
    <w:p w14:paraId="49A7A851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Key Aim 3: Demonstrate Impact</w:t>
      </w:r>
    </w:p>
    <w:p w14:paraId="3FF10950" w14:textId="77777777" w:rsidR="39507797" w:rsidRDefault="39507797" w:rsidP="1C824CA2">
      <w:pPr>
        <w:spacing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This aim focuses on identifying and measuring the broader social and economic benefits of adult learning.</w:t>
      </w:r>
    </w:p>
    <w:p w14:paraId="1CFF0C65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Findings</w:t>
      </w:r>
    </w:p>
    <w:p w14:paraId="7F8B395B" w14:textId="12C8AA4A" w:rsidR="39507797" w:rsidRDefault="39507797" w:rsidP="1C824CA2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Wider Outcomes Challenge:</w:t>
      </w:r>
      <w:r w:rsidRPr="1C824CA2">
        <w:rPr>
          <w:rFonts w:ascii="Aptos" w:eastAsia="Aptos" w:hAnsi="Aptos" w:cs="Aptos"/>
        </w:rPr>
        <w:t xml:space="preserve"> </w:t>
      </w:r>
      <w:r w:rsidR="692B3CFA">
        <w:t xml:space="preserve">Wider social outcomes such as wellbeing, confidence and reduced isolation remain difficult to measure consistently. </w:t>
      </w:r>
      <w:r w:rsidRPr="1C824CA2">
        <w:rPr>
          <w:rFonts w:ascii="Aptos" w:eastAsia="Aptos" w:hAnsi="Aptos" w:cs="Aptos"/>
        </w:rPr>
        <w:t>There is less consensus on the tools needed to measure wider social outcomes, such as health and well-being, or citizenship and community.</w:t>
      </w:r>
    </w:p>
    <w:p w14:paraId="1B2460E1" w14:textId="77777777" w:rsidR="39507797" w:rsidRDefault="39507797" w:rsidP="1C824CA2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Successful Measures Criteria:</w:t>
      </w:r>
      <w:r w:rsidRPr="1C824CA2">
        <w:rPr>
          <w:rFonts w:ascii="Aptos" w:eastAsia="Aptos" w:hAnsi="Aptos" w:cs="Aptos"/>
        </w:rPr>
        <w:t xml:space="preserve"> Impact measures should be aligned with policy, simplified, realistic, validated (comparable with baseline data), and account for timing (when outcomes can reasonably be expected).</w:t>
      </w:r>
    </w:p>
    <w:p w14:paraId="5DA5654A" w14:textId="77777777" w:rsidR="39507797" w:rsidRDefault="39507797" w:rsidP="1C824CA2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External Data Collection Model:</w:t>
      </w:r>
      <w:r w:rsidRPr="1C824CA2">
        <w:rPr>
          <w:rFonts w:ascii="Aptos" w:eastAsia="Aptos" w:hAnsi="Aptos" w:cs="Aptos"/>
        </w:rPr>
        <w:t xml:space="preserve"> The London Learner Survey uses an external research agency for linked baseline and follow-up surveys (5-7 months post-completion) to capture employment and social outcomes, which alleviates the burden on providers.</w:t>
      </w:r>
    </w:p>
    <w:p w14:paraId="78A801FA" w14:textId="54E1227A" w:rsidR="2AFF9327" w:rsidRDefault="49577484" w:rsidP="2AFF9327">
      <w:pPr>
        <w:pStyle w:val="ListParagraph"/>
        <w:numPr>
          <w:ilvl w:val="0"/>
          <w:numId w:val="5"/>
        </w:numPr>
        <w:spacing w:before="240" w:after="240"/>
      </w:pPr>
      <w:r>
        <w:t>Wider social outcomes such as wellbeing, confidence and reduced isolation remain difficult to measure consistently.</w:t>
      </w:r>
    </w:p>
    <w:p w14:paraId="2D2BA1A6" w14:textId="77777777" w:rsidR="39507797" w:rsidRDefault="39507797" w:rsidP="1C824CA2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Wider Outcomes Framework (WOF):</w:t>
      </w:r>
      <w:r w:rsidRPr="1C824CA2">
        <w:rPr>
          <w:rFonts w:ascii="Aptos" w:eastAsia="Aptos" w:hAnsi="Aptos" w:cs="Aptos"/>
        </w:rPr>
        <w:t xml:space="preserve"> The CPCA (Cambridge and Peterborough Combined Authority) is developing a WOF based on the overlapping domains of health, work, and community.</w:t>
      </w:r>
    </w:p>
    <w:p w14:paraId="7DE52801" w14:textId="77777777" w:rsidR="39507797" w:rsidRDefault="39507797" w:rsidP="1C824CA2">
      <w:pPr>
        <w:pStyle w:val="ListParagraph"/>
        <w:numPr>
          <w:ilvl w:val="1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 xml:space="preserve">It uses a logic chain model </w:t>
      </w:r>
      <w:r w:rsidR="12C14A7E" w:rsidRPr="1C824CA2">
        <w:rPr>
          <w:rFonts w:ascii="Aptos" w:eastAsia="Aptos" w:hAnsi="Aptos" w:cs="Aptos"/>
          <w:lang w:val="en-US"/>
        </w:rPr>
        <w:t>(Inputs -&gt; Activities -&gt; Outputs -&gt; Outcomes -&gt; Benefits -&gt; Impact)</w:t>
      </w:r>
      <w:r w:rsidRPr="1C824CA2">
        <w:rPr>
          <w:rFonts w:ascii="Aptos" w:eastAsia="Aptos" w:hAnsi="Aptos" w:cs="Aptos"/>
        </w:rPr>
        <w:t>.</w:t>
      </w:r>
    </w:p>
    <w:p w14:paraId="5B3CB23C" w14:textId="77777777" w:rsidR="39507797" w:rsidRDefault="39507797" w:rsidP="1C824CA2">
      <w:pPr>
        <w:pStyle w:val="ListParagraph"/>
        <w:numPr>
          <w:ilvl w:val="1"/>
          <w:numId w:val="5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Data collection involves naturally occurring data and four new end-of-course questions administered by providers.</w:t>
      </w:r>
    </w:p>
    <w:p w14:paraId="428E9C03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Key Aim 4: Use Data as a Tool for Improvement</w:t>
      </w:r>
    </w:p>
    <w:p w14:paraId="7403EE5C" w14:textId="77777777" w:rsidR="39507797" w:rsidRDefault="39507797" w:rsidP="1C824CA2">
      <w:pPr>
        <w:spacing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This aim is about applying the data insights to improve provision and advice.</w:t>
      </w:r>
    </w:p>
    <w:p w14:paraId="55DC465E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lastRenderedPageBreak/>
        <w:t>Findings</w:t>
      </w:r>
    </w:p>
    <w:p w14:paraId="7E84633B" w14:textId="77777777" w:rsidR="39507797" w:rsidRDefault="39507797" w:rsidP="1C824CA2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b/>
          <w:bCs/>
        </w:rPr>
      </w:pPr>
      <w:r w:rsidRPr="1C824CA2">
        <w:rPr>
          <w:rFonts w:ascii="Aptos" w:eastAsia="Aptos" w:hAnsi="Aptos" w:cs="Aptos"/>
          <w:b/>
          <w:bCs/>
        </w:rPr>
        <w:t>T</w:t>
      </w:r>
      <w:r w:rsidR="7E81A4FD" w:rsidRPr="1C824CA2">
        <w:rPr>
          <w:rFonts w:ascii="Aptos" w:eastAsia="Aptos" w:hAnsi="Aptos" w:cs="Aptos"/>
          <w:b/>
          <w:bCs/>
        </w:rPr>
        <w:t>utor</w:t>
      </w:r>
      <w:r w:rsidRPr="1C824CA2">
        <w:rPr>
          <w:rFonts w:ascii="Aptos" w:eastAsia="Aptos" w:hAnsi="Aptos" w:cs="Aptos"/>
          <w:b/>
          <w:bCs/>
        </w:rPr>
        <w:t>-Level Data:</w:t>
      </w:r>
      <w:r w:rsidRPr="1C824CA2">
        <w:rPr>
          <w:rFonts w:ascii="Aptos" w:eastAsia="Aptos" w:hAnsi="Aptos" w:cs="Aptos"/>
        </w:rPr>
        <w:t xml:space="preserve"> </w:t>
      </w:r>
      <w:r w:rsidR="4F425648" w:rsidRPr="1C824CA2">
        <w:rPr>
          <w:rFonts w:ascii="Aptos" w:eastAsia="Aptos" w:hAnsi="Aptos" w:cs="Aptos"/>
        </w:rPr>
        <w:t>Tutors</w:t>
      </w:r>
      <w:r w:rsidRPr="1C824CA2">
        <w:rPr>
          <w:rFonts w:ascii="Aptos" w:eastAsia="Aptos" w:hAnsi="Aptos" w:cs="Aptos"/>
        </w:rPr>
        <w:t xml:space="preserve"> use Individual Learning Plans (ILPs) and have a fine-grained view of individual learner progress, but this is rarely used to inform the providers' self-evaluation reports.</w:t>
      </w:r>
    </w:p>
    <w:p w14:paraId="58434ABB" w14:textId="7BE9DDA6" w:rsidR="223D701F" w:rsidRDefault="376BFB5F" w:rsidP="223D701F">
      <w:pPr>
        <w:pStyle w:val="ListParagraph"/>
        <w:numPr>
          <w:ilvl w:val="0"/>
          <w:numId w:val="2"/>
        </w:numPr>
        <w:spacing w:before="240" w:after="240"/>
      </w:pPr>
      <w:r w:rsidRPr="67BB9893">
        <w:rPr>
          <w:rFonts w:ascii="Aptos" w:eastAsia="Aptos" w:hAnsi="Aptos" w:cs="Aptos"/>
          <w:b/>
          <w:bCs/>
        </w:rPr>
        <w:t>ILP’s:</w:t>
      </w:r>
      <w:r w:rsidRPr="7305E277">
        <w:rPr>
          <w:rFonts w:ascii="Aptos" w:eastAsia="Aptos" w:hAnsi="Aptos" w:cs="Aptos"/>
        </w:rPr>
        <w:t xml:space="preserve"> </w:t>
      </w:r>
      <w:r>
        <w:t>Current ILP and qualitative data capture are inconsistent and do not aggregate well for reporting.</w:t>
      </w:r>
    </w:p>
    <w:p w14:paraId="37DFBB88" w14:textId="77777777" w:rsidR="39507797" w:rsidRDefault="39507797" w:rsidP="1C824CA2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Impact of Learning:</w:t>
      </w:r>
      <w:r w:rsidRPr="1C824CA2">
        <w:rPr>
          <w:rFonts w:ascii="Aptos" w:eastAsia="Aptos" w:hAnsi="Aptos" w:cs="Aptos"/>
        </w:rPr>
        <w:t xml:space="preserve"> Measuring progression helps identify:</w:t>
      </w:r>
    </w:p>
    <w:p w14:paraId="1D2A15DE" w14:textId="77777777" w:rsidR="39507797" w:rsidRDefault="39507797" w:rsidP="1C824CA2">
      <w:pPr>
        <w:pStyle w:val="ListParagraph"/>
        <w:numPr>
          <w:ilvl w:val="1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The long-term impact of learning on abilities and outcomes.</w:t>
      </w:r>
    </w:p>
    <w:p w14:paraId="7295A7BC" w14:textId="77777777" w:rsidR="39507797" w:rsidRDefault="39507797" w:rsidP="1C824CA2">
      <w:pPr>
        <w:pStyle w:val="ListParagraph"/>
        <w:numPr>
          <w:ilvl w:val="1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Which courses have the most long-term impact and which ones recycle learners.</w:t>
      </w:r>
    </w:p>
    <w:p w14:paraId="7250B913" w14:textId="77777777" w:rsidR="39507797" w:rsidRDefault="39507797" w:rsidP="1C824CA2">
      <w:pPr>
        <w:pStyle w:val="ListParagraph"/>
        <w:numPr>
          <w:ilvl w:val="1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Courses needing improvement.</w:t>
      </w:r>
    </w:p>
    <w:p w14:paraId="1DD90FC1" w14:textId="77777777" w:rsidR="39507797" w:rsidRDefault="39507797" w:rsidP="1C824CA2">
      <w:pPr>
        <w:pStyle w:val="ListParagraph"/>
        <w:numPr>
          <w:ilvl w:val="1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Information for pre-course and in-course advice and guidance.</w:t>
      </w:r>
    </w:p>
    <w:p w14:paraId="2B3E30B6" w14:textId="77777777" w:rsidR="39507797" w:rsidRDefault="39507797" w:rsidP="1C824CA2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Planning for Outcomes:</w:t>
      </w:r>
      <w:r w:rsidRPr="1C824CA2">
        <w:rPr>
          <w:rFonts w:ascii="Aptos" w:eastAsia="Aptos" w:hAnsi="Aptos" w:cs="Aptos"/>
        </w:rPr>
        <w:t xml:space="preserve"> For 2025/26, the CPCA example shows providers planning their curriculum against the DfE's 10 outcome areas (rather than 7 purposes) to improve data collection and alignment.</w:t>
      </w:r>
    </w:p>
    <w:p w14:paraId="0BDF888B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Key Aim 5: Track Progression and Understand Learner Movement</w:t>
      </w:r>
    </w:p>
    <w:p w14:paraId="1985E87B" w14:textId="77777777" w:rsidR="39507797" w:rsidRDefault="39507797" w:rsidP="1C824CA2">
      <w:pPr>
        <w:spacing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This aim focuses specifically on measuring and capturing the learner journey.</w:t>
      </w:r>
    </w:p>
    <w:p w14:paraId="41348210" w14:textId="77777777" w:rsidR="39507797" w:rsidRDefault="39507797" w:rsidP="1C824CA2">
      <w:pPr>
        <w:rPr>
          <w:rFonts w:ascii="Aptos" w:eastAsia="Aptos" w:hAnsi="Aptos" w:cs="Aptos"/>
          <w:b/>
          <w:bCs/>
          <w:sz w:val="28"/>
          <w:szCs w:val="28"/>
        </w:rPr>
      </w:pPr>
      <w:r w:rsidRPr="1C824CA2">
        <w:rPr>
          <w:b/>
          <w:bCs/>
        </w:rPr>
        <w:t>Findings</w:t>
      </w:r>
    </w:p>
    <w:p w14:paraId="166E6F50" w14:textId="77777777" w:rsidR="39507797" w:rsidRDefault="39507797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Weaknesses in Progression Planning:</w:t>
      </w:r>
      <w:r w:rsidRPr="1C824CA2">
        <w:rPr>
          <w:rFonts w:ascii="Aptos" w:eastAsia="Aptos" w:hAnsi="Aptos" w:cs="Aptos"/>
        </w:rPr>
        <w:t xml:space="preserve"> Estyn inspections show weaknesses in planning clear progression routes within and beyond partnerships.</w:t>
      </w:r>
    </w:p>
    <w:p w14:paraId="382A3522" w14:textId="1F2A566A" w:rsidR="7DA527EF" w:rsidRDefault="39507797" w:rsidP="00AD6CE6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Definition of Progression:</w:t>
      </w:r>
      <w:r w:rsidRPr="1C824CA2">
        <w:rPr>
          <w:rFonts w:ascii="Aptos" w:eastAsia="Aptos" w:hAnsi="Aptos" w:cs="Aptos"/>
        </w:rPr>
        <w:t xml:space="preserve"> Progression is defined as movement into, within, and beyond the partnership's provision (including movement between providers).</w:t>
      </w:r>
    </w:p>
    <w:p w14:paraId="17064716" w14:textId="77777777" w:rsidR="39507797" w:rsidRDefault="39507797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"Spiky" Progression:</w:t>
      </w:r>
      <w:r w:rsidRPr="1C824CA2">
        <w:rPr>
          <w:rFonts w:ascii="Aptos" w:eastAsia="Aptos" w:hAnsi="Aptos" w:cs="Aptos"/>
        </w:rPr>
        <w:t xml:space="preserve"> Adult learner progression is often not linear; it can go up and down but should demonstrate overall development.</w:t>
      </w:r>
    </w:p>
    <w:p w14:paraId="376A4F9D" w14:textId="72CE1D87" w:rsidR="3CEE38C8" w:rsidRDefault="6359D584" w:rsidP="3CEE38C8">
      <w:pPr>
        <w:pStyle w:val="ListParagraph"/>
        <w:numPr>
          <w:ilvl w:val="0"/>
          <w:numId w:val="1"/>
        </w:numPr>
        <w:spacing w:before="240" w:after="240"/>
      </w:pPr>
      <w:r w:rsidRPr="5E7F21F4">
        <w:rPr>
          <w:b/>
          <w:bCs/>
        </w:rPr>
        <w:t>Tracking Limited:</w:t>
      </w:r>
      <w:r>
        <w:t xml:space="preserve"> Progression and destination tracking are severely limited by low email capture and digital poverty.</w:t>
      </w:r>
      <w:r w:rsidR="519C5C09">
        <w:t xml:space="preserve"> MEDA can provide aggregated national learner movement data, which partnerships could use </w:t>
      </w:r>
      <w:proofErr w:type="gramStart"/>
      <w:r w:rsidR="519C5C09">
        <w:t>as a way to</w:t>
      </w:r>
      <w:proofErr w:type="gramEnd"/>
      <w:r w:rsidR="519C5C09">
        <w:t xml:space="preserve"> benchmark progression.</w:t>
      </w:r>
    </w:p>
    <w:p w14:paraId="66E1D7E1" w14:textId="77777777" w:rsidR="39507797" w:rsidRDefault="39507797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Recycling Learners:</w:t>
      </w:r>
      <w:r w:rsidRPr="1C824CA2">
        <w:rPr>
          <w:rFonts w:ascii="Aptos" w:eastAsia="Aptos" w:hAnsi="Aptos" w:cs="Aptos"/>
        </w:rPr>
        <w:t xml:space="preserve"> Re-enrolment is appropriate in some contexts (e.g., refreshing skills for older learners), but not for all.</w:t>
      </w:r>
    </w:p>
    <w:p w14:paraId="0123B81F" w14:textId="77777777" w:rsidR="39507797" w:rsidRDefault="39507797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t>Progression Patterns:</w:t>
      </w:r>
      <w:r w:rsidRPr="1C824CA2">
        <w:rPr>
          <w:rFonts w:ascii="Aptos" w:eastAsia="Aptos" w:hAnsi="Aptos" w:cs="Aptos"/>
        </w:rPr>
        <w:t xml:space="preserve"> Case studies indicate:</w:t>
      </w:r>
    </w:p>
    <w:p w14:paraId="525B2785" w14:textId="77777777" w:rsidR="39507797" w:rsidRDefault="39507797" w:rsidP="1C824CA2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Around one-third of learners had previously undertaken courses.</w:t>
      </w:r>
    </w:p>
    <w:p w14:paraId="0E08043E" w14:textId="77777777" w:rsidR="39507797" w:rsidRDefault="39507797" w:rsidP="1C824CA2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In one partnership, 40% progressed to additional courses or enrolled in Further Education (FE).</w:t>
      </w:r>
    </w:p>
    <w:p w14:paraId="6497852E" w14:textId="77777777" w:rsidR="39507797" w:rsidRDefault="39507797" w:rsidP="1C824CA2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</w:rPr>
        <w:t>Of returning learners at Adult Learning Wales, 49% are at the same level, 19% at a lower level, and 32% at a higher level.</w:t>
      </w:r>
    </w:p>
    <w:p w14:paraId="23DD1A91" w14:textId="555D9532" w:rsidR="39507797" w:rsidRDefault="39507797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C824CA2">
        <w:rPr>
          <w:rFonts w:ascii="Aptos" w:eastAsia="Aptos" w:hAnsi="Aptos" w:cs="Aptos"/>
          <w:b/>
          <w:bCs/>
        </w:rPr>
        <w:lastRenderedPageBreak/>
        <w:t>Need for Standardisation:</w:t>
      </w:r>
      <w:r w:rsidRPr="1C824CA2">
        <w:rPr>
          <w:rFonts w:ascii="Aptos" w:eastAsia="Aptos" w:hAnsi="Aptos" w:cs="Aptos"/>
        </w:rPr>
        <w:t xml:space="preserve"> Progression data is currently not standardised or aggregated nationally. Standardised data collection and analysis are needed for benchmarking.</w:t>
      </w:r>
      <w:r w:rsidR="2B40F44B" w:rsidRPr="577F86E0">
        <w:rPr>
          <w:rFonts w:ascii="Aptos" w:eastAsia="Aptos" w:hAnsi="Aptos" w:cs="Aptos"/>
        </w:rPr>
        <w:t xml:space="preserve"> </w:t>
      </w:r>
    </w:p>
    <w:p w14:paraId="244E3BC0" w14:textId="21AAAC1C" w:rsidR="0AD628C4" w:rsidRDefault="2B40F44B" w:rsidP="0AD628C4">
      <w:pPr>
        <w:pStyle w:val="ListParagraph"/>
        <w:numPr>
          <w:ilvl w:val="0"/>
          <w:numId w:val="1"/>
        </w:numPr>
        <w:spacing w:before="240" w:after="240"/>
      </w:pPr>
      <w:r w:rsidRPr="74B2A002">
        <w:rPr>
          <w:b/>
          <w:bCs/>
        </w:rPr>
        <w:t>EBS</w:t>
      </w:r>
      <w:r w:rsidR="1F51FEFA" w:rsidRPr="3B456727">
        <w:rPr>
          <w:b/>
          <w:bCs/>
        </w:rPr>
        <w:t xml:space="preserve"> </w:t>
      </w:r>
      <w:r w:rsidR="1F51FEFA" w:rsidRPr="2D237244">
        <w:rPr>
          <w:b/>
          <w:bCs/>
        </w:rPr>
        <w:t>use</w:t>
      </w:r>
      <w:r w:rsidR="1F51FEFA" w:rsidRPr="685A38BD">
        <w:rPr>
          <w:b/>
          <w:bCs/>
        </w:rPr>
        <w:t>:</w:t>
      </w:r>
      <w:r w:rsidRPr="74B2A002">
        <w:rPr>
          <w:b/>
          <w:bCs/>
        </w:rPr>
        <w:t xml:space="preserve"> </w:t>
      </w:r>
      <w:r w:rsidR="46AE961C">
        <w:t>Use va</w:t>
      </w:r>
      <w:r>
        <w:t>ries significantly across partnerships</w:t>
      </w:r>
      <w:r w:rsidR="679ED838">
        <w:t>,</w:t>
      </w:r>
      <w:r>
        <w:t xml:space="preserve"> creating data fragmentation and unequal capacity.</w:t>
      </w:r>
    </w:p>
    <w:p w14:paraId="7450F2E1" w14:textId="77777777" w:rsidR="39507797" w:rsidRDefault="5A1B10C5" w:rsidP="1C824CA2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0483A01B">
        <w:rPr>
          <w:rFonts w:ascii="Aptos" w:eastAsia="Aptos" w:hAnsi="Aptos" w:cs="Aptos"/>
          <w:b/>
          <w:bCs/>
        </w:rPr>
        <w:t>Beyond Quantitative Data:</w:t>
      </w:r>
      <w:r w:rsidRPr="0483A01B">
        <w:rPr>
          <w:rFonts w:ascii="Aptos" w:eastAsia="Aptos" w:hAnsi="Aptos" w:cs="Aptos"/>
        </w:rPr>
        <w:t xml:space="preserve"> Progression should be measured using a mix of data, including the qualitative aspects found in Individual Learning Plans (ILPs), R</w:t>
      </w:r>
      <w:r w:rsidR="7F036B65" w:rsidRPr="0483A01B">
        <w:rPr>
          <w:rFonts w:ascii="Aptos" w:eastAsia="Aptos" w:hAnsi="Aptos" w:cs="Aptos"/>
        </w:rPr>
        <w:t>A</w:t>
      </w:r>
      <w:r w:rsidRPr="0483A01B">
        <w:rPr>
          <w:rFonts w:ascii="Aptos" w:eastAsia="Aptos" w:hAnsi="Aptos" w:cs="Aptos"/>
        </w:rPr>
        <w:t>RP</w:t>
      </w:r>
      <w:r w:rsidR="2E0FFEC8" w:rsidRPr="0483A01B">
        <w:rPr>
          <w:rFonts w:ascii="Aptos" w:eastAsia="Aptos" w:hAnsi="Aptos" w:cs="Aptos"/>
        </w:rPr>
        <w:t>A</w:t>
      </w:r>
      <w:r w:rsidRPr="0483A01B">
        <w:rPr>
          <w:rFonts w:ascii="Aptos" w:eastAsia="Aptos" w:hAnsi="Aptos" w:cs="Aptos"/>
        </w:rPr>
        <w:t xml:space="preserve"> principles, well-being metrics, tutor reports, and learner self-reporting.</w:t>
      </w:r>
    </w:p>
    <w:p w14:paraId="38613B6F" w14:textId="14B221E8" w:rsidR="103CA4F2" w:rsidRDefault="103CA4F2" w:rsidP="269E3DB7">
      <w:pPr>
        <w:pStyle w:val="ListParagraph"/>
        <w:numPr>
          <w:ilvl w:val="0"/>
          <w:numId w:val="1"/>
        </w:numPr>
        <w:spacing w:before="240" w:after="240"/>
      </w:pPr>
      <w:r w:rsidRPr="1746AE17">
        <w:rPr>
          <w:rFonts w:ascii="Aptos" w:eastAsia="Aptos" w:hAnsi="Aptos" w:cs="Aptos"/>
          <w:b/>
          <w:bCs/>
        </w:rPr>
        <w:t>Infrastructure:</w:t>
      </w:r>
      <w:r w:rsidRPr="269E3DB7">
        <w:rPr>
          <w:rFonts w:ascii="Aptos" w:eastAsia="Aptos" w:hAnsi="Aptos" w:cs="Aptos"/>
        </w:rPr>
        <w:t xml:space="preserve"> </w:t>
      </w:r>
      <w:r>
        <w:t>Local authority providers often lack data infrastructure and rely on FE institutions for processing.</w:t>
      </w:r>
    </w:p>
    <w:p w14:paraId="4D8C8BB3" w14:textId="20972711" w:rsidR="0A8675CF" w:rsidRDefault="0A8675CF" w:rsidP="33918737">
      <w:pPr>
        <w:pStyle w:val="ListParagraph"/>
        <w:spacing w:before="240" w:after="240"/>
        <w:rPr>
          <w:rFonts w:ascii="Aptos" w:eastAsia="Aptos" w:hAnsi="Aptos" w:cs="Aptos"/>
        </w:rPr>
      </w:pPr>
    </w:p>
    <w:p w14:paraId="6082A982" w14:textId="77777777" w:rsidR="0012618D" w:rsidRDefault="0012618D"/>
    <w:sectPr w:rsidR="001261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7DCC6"/>
    <w:multiLevelType w:val="hybridMultilevel"/>
    <w:tmpl w:val="7298A90A"/>
    <w:lvl w:ilvl="0" w:tplc="89F86B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224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A67C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7E76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C8AE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CEE4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DAD2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A276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BC08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20184"/>
    <w:multiLevelType w:val="hybridMultilevel"/>
    <w:tmpl w:val="43F6B40A"/>
    <w:lvl w:ilvl="0" w:tplc="889AF8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E260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2872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968D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6009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60AB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58F7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8E23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C225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DAD8A6"/>
    <w:multiLevelType w:val="hybridMultilevel"/>
    <w:tmpl w:val="C10EB5B0"/>
    <w:lvl w:ilvl="0" w:tplc="A9BAF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C488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F801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5266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A0A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92D7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429F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345E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180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F566C"/>
    <w:multiLevelType w:val="hybridMultilevel"/>
    <w:tmpl w:val="AAB20F0A"/>
    <w:lvl w:ilvl="0" w:tplc="391439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C845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98E3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D46C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3A06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6627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C637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EA8B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BE24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06329"/>
    <w:multiLevelType w:val="hybridMultilevel"/>
    <w:tmpl w:val="C42448D6"/>
    <w:lvl w:ilvl="0" w:tplc="B62662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3E4E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7C4F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D4F7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289F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38A5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8A9F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868F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CA0F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2515388">
    <w:abstractNumId w:val="0"/>
  </w:num>
  <w:num w:numId="2" w16cid:durableId="1063717160">
    <w:abstractNumId w:val="4"/>
  </w:num>
  <w:num w:numId="3" w16cid:durableId="1305574741">
    <w:abstractNumId w:val="2"/>
  </w:num>
  <w:num w:numId="4" w16cid:durableId="1788770720">
    <w:abstractNumId w:val="3"/>
  </w:num>
  <w:num w:numId="5" w16cid:durableId="744449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3EC40C"/>
    <w:rsid w:val="00025ED7"/>
    <w:rsid w:val="000453EE"/>
    <w:rsid w:val="000472B2"/>
    <w:rsid w:val="00054CB4"/>
    <w:rsid w:val="00085994"/>
    <w:rsid w:val="000D29F2"/>
    <w:rsid w:val="000E73CF"/>
    <w:rsid w:val="000F5854"/>
    <w:rsid w:val="001168E0"/>
    <w:rsid w:val="00121308"/>
    <w:rsid w:val="0012143A"/>
    <w:rsid w:val="0012618D"/>
    <w:rsid w:val="001268B5"/>
    <w:rsid w:val="001312A3"/>
    <w:rsid w:val="00156241"/>
    <w:rsid w:val="001635C0"/>
    <w:rsid w:val="00166175"/>
    <w:rsid w:val="001A3E17"/>
    <w:rsid w:val="001B1834"/>
    <w:rsid w:val="001F3996"/>
    <w:rsid w:val="00211BF5"/>
    <w:rsid w:val="00213E41"/>
    <w:rsid w:val="0025092A"/>
    <w:rsid w:val="00280E47"/>
    <w:rsid w:val="002D0D0C"/>
    <w:rsid w:val="002D42CE"/>
    <w:rsid w:val="002F3068"/>
    <w:rsid w:val="00313186"/>
    <w:rsid w:val="00315A50"/>
    <w:rsid w:val="00350767"/>
    <w:rsid w:val="0036758F"/>
    <w:rsid w:val="003B7E24"/>
    <w:rsid w:val="003F7319"/>
    <w:rsid w:val="0043361A"/>
    <w:rsid w:val="00447A57"/>
    <w:rsid w:val="004627F6"/>
    <w:rsid w:val="004A187F"/>
    <w:rsid w:val="004F330F"/>
    <w:rsid w:val="0050288D"/>
    <w:rsid w:val="00587AF9"/>
    <w:rsid w:val="005A16EA"/>
    <w:rsid w:val="005D1D87"/>
    <w:rsid w:val="005D25F6"/>
    <w:rsid w:val="00613733"/>
    <w:rsid w:val="00616BD2"/>
    <w:rsid w:val="006173ED"/>
    <w:rsid w:val="0064237A"/>
    <w:rsid w:val="00653C13"/>
    <w:rsid w:val="00654295"/>
    <w:rsid w:val="0067429D"/>
    <w:rsid w:val="006D7DB7"/>
    <w:rsid w:val="006E5589"/>
    <w:rsid w:val="006E5FDC"/>
    <w:rsid w:val="006F11B8"/>
    <w:rsid w:val="006F702A"/>
    <w:rsid w:val="0070121E"/>
    <w:rsid w:val="0073136E"/>
    <w:rsid w:val="00763C0F"/>
    <w:rsid w:val="007D5F68"/>
    <w:rsid w:val="00806867"/>
    <w:rsid w:val="00814433"/>
    <w:rsid w:val="0082639E"/>
    <w:rsid w:val="008313F6"/>
    <w:rsid w:val="00835FCF"/>
    <w:rsid w:val="00875080"/>
    <w:rsid w:val="00887BD4"/>
    <w:rsid w:val="008A18D2"/>
    <w:rsid w:val="008D2F29"/>
    <w:rsid w:val="008D39FE"/>
    <w:rsid w:val="008D7D57"/>
    <w:rsid w:val="008E3720"/>
    <w:rsid w:val="009179C5"/>
    <w:rsid w:val="0096101F"/>
    <w:rsid w:val="0096412B"/>
    <w:rsid w:val="009C128B"/>
    <w:rsid w:val="009F0035"/>
    <w:rsid w:val="00A23A94"/>
    <w:rsid w:val="00A51FF0"/>
    <w:rsid w:val="00A554AD"/>
    <w:rsid w:val="00A5677C"/>
    <w:rsid w:val="00A6251C"/>
    <w:rsid w:val="00A82DE3"/>
    <w:rsid w:val="00AD6CE6"/>
    <w:rsid w:val="00AE38DF"/>
    <w:rsid w:val="00AF3DF8"/>
    <w:rsid w:val="00AF53AA"/>
    <w:rsid w:val="00B127A5"/>
    <w:rsid w:val="00B22634"/>
    <w:rsid w:val="00B3539F"/>
    <w:rsid w:val="00B56AD0"/>
    <w:rsid w:val="00B6755D"/>
    <w:rsid w:val="00B77933"/>
    <w:rsid w:val="00BA4BB0"/>
    <w:rsid w:val="00BD7FEA"/>
    <w:rsid w:val="00BE2756"/>
    <w:rsid w:val="00BE327F"/>
    <w:rsid w:val="00C136DC"/>
    <w:rsid w:val="00C258FD"/>
    <w:rsid w:val="00C3161E"/>
    <w:rsid w:val="00C33C3B"/>
    <w:rsid w:val="00C90996"/>
    <w:rsid w:val="00CF3724"/>
    <w:rsid w:val="00D16452"/>
    <w:rsid w:val="00D22ED0"/>
    <w:rsid w:val="00D306E4"/>
    <w:rsid w:val="00D337F0"/>
    <w:rsid w:val="00D605DD"/>
    <w:rsid w:val="00D73CFF"/>
    <w:rsid w:val="00D80EBA"/>
    <w:rsid w:val="00DE4D2C"/>
    <w:rsid w:val="00E01628"/>
    <w:rsid w:val="00E03136"/>
    <w:rsid w:val="00E07CFF"/>
    <w:rsid w:val="00E22721"/>
    <w:rsid w:val="00E70354"/>
    <w:rsid w:val="00E768CC"/>
    <w:rsid w:val="00E9706C"/>
    <w:rsid w:val="00EB3BBD"/>
    <w:rsid w:val="00EB7D70"/>
    <w:rsid w:val="00EC1C90"/>
    <w:rsid w:val="00ED0D3C"/>
    <w:rsid w:val="00EE7ED7"/>
    <w:rsid w:val="00F12468"/>
    <w:rsid w:val="00F377CD"/>
    <w:rsid w:val="00F5194D"/>
    <w:rsid w:val="021E1A7B"/>
    <w:rsid w:val="024C7259"/>
    <w:rsid w:val="02BC0144"/>
    <w:rsid w:val="0483A01B"/>
    <w:rsid w:val="04E003B5"/>
    <w:rsid w:val="05D3468E"/>
    <w:rsid w:val="07D1F607"/>
    <w:rsid w:val="07FC8670"/>
    <w:rsid w:val="086429D1"/>
    <w:rsid w:val="097AA5F9"/>
    <w:rsid w:val="09E38F43"/>
    <w:rsid w:val="09EC8E8A"/>
    <w:rsid w:val="09F8C980"/>
    <w:rsid w:val="0A6DCEFA"/>
    <w:rsid w:val="0A8675CF"/>
    <w:rsid w:val="0ACB035D"/>
    <w:rsid w:val="0AD628C4"/>
    <w:rsid w:val="0BA43781"/>
    <w:rsid w:val="0BE3CD2C"/>
    <w:rsid w:val="0CE7F79E"/>
    <w:rsid w:val="0DB24C0E"/>
    <w:rsid w:val="0DF7C3B1"/>
    <w:rsid w:val="0E42A363"/>
    <w:rsid w:val="0EAC7BFA"/>
    <w:rsid w:val="103CA4F2"/>
    <w:rsid w:val="116B1166"/>
    <w:rsid w:val="12C14A7E"/>
    <w:rsid w:val="150919CD"/>
    <w:rsid w:val="1562FB32"/>
    <w:rsid w:val="15650479"/>
    <w:rsid w:val="15996964"/>
    <w:rsid w:val="1746AE17"/>
    <w:rsid w:val="17DA3AA4"/>
    <w:rsid w:val="1852BFED"/>
    <w:rsid w:val="18A6F04D"/>
    <w:rsid w:val="1C824CA2"/>
    <w:rsid w:val="1C8B74D5"/>
    <w:rsid w:val="1E12F3B8"/>
    <w:rsid w:val="1F4D3977"/>
    <w:rsid w:val="1F51FEFA"/>
    <w:rsid w:val="1F523A06"/>
    <w:rsid w:val="2169FA0E"/>
    <w:rsid w:val="223D701F"/>
    <w:rsid w:val="2255A042"/>
    <w:rsid w:val="2296A0BF"/>
    <w:rsid w:val="23ADFFF8"/>
    <w:rsid w:val="2528C0C5"/>
    <w:rsid w:val="252CD253"/>
    <w:rsid w:val="25582F02"/>
    <w:rsid w:val="25BA0DBD"/>
    <w:rsid w:val="266CCD78"/>
    <w:rsid w:val="269E3DB7"/>
    <w:rsid w:val="287DAAE0"/>
    <w:rsid w:val="28A2319C"/>
    <w:rsid w:val="28F9054D"/>
    <w:rsid w:val="2AFF9327"/>
    <w:rsid w:val="2B40F44B"/>
    <w:rsid w:val="2CFE40CB"/>
    <w:rsid w:val="2D237244"/>
    <w:rsid w:val="2D4C8088"/>
    <w:rsid w:val="2E0FFEC8"/>
    <w:rsid w:val="2F7603E9"/>
    <w:rsid w:val="30CFDED9"/>
    <w:rsid w:val="30FF259D"/>
    <w:rsid w:val="31B99B9E"/>
    <w:rsid w:val="3231BAAD"/>
    <w:rsid w:val="3245C52E"/>
    <w:rsid w:val="32A6B30F"/>
    <w:rsid w:val="33843371"/>
    <w:rsid w:val="33918737"/>
    <w:rsid w:val="3460302F"/>
    <w:rsid w:val="34D4859D"/>
    <w:rsid w:val="356D4764"/>
    <w:rsid w:val="35C9E1D2"/>
    <w:rsid w:val="365C69E0"/>
    <w:rsid w:val="3766E952"/>
    <w:rsid w:val="376BFB5F"/>
    <w:rsid w:val="38544ED3"/>
    <w:rsid w:val="38BD118E"/>
    <w:rsid w:val="39068667"/>
    <w:rsid w:val="392408DB"/>
    <w:rsid w:val="39507797"/>
    <w:rsid w:val="39891CA9"/>
    <w:rsid w:val="3B456727"/>
    <w:rsid w:val="3BFB73B1"/>
    <w:rsid w:val="3C291A65"/>
    <w:rsid w:val="3C4F44C4"/>
    <w:rsid w:val="3CB0850D"/>
    <w:rsid w:val="3CB56C29"/>
    <w:rsid w:val="3CEE38C8"/>
    <w:rsid w:val="3E9B0DDB"/>
    <w:rsid w:val="3EC80DAB"/>
    <w:rsid w:val="3F5339BA"/>
    <w:rsid w:val="406EDE52"/>
    <w:rsid w:val="4316B1C2"/>
    <w:rsid w:val="452F710A"/>
    <w:rsid w:val="46AE961C"/>
    <w:rsid w:val="46B0B146"/>
    <w:rsid w:val="46F795BD"/>
    <w:rsid w:val="48DBEA6C"/>
    <w:rsid w:val="4907BD2E"/>
    <w:rsid w:val="49577484"/>
    <w:rsid w:val="4ABC599B"/>
    <w:rsid w:val="4AF61E05"/>
    <w:rsid w:val="4B4C0000"/>
    <w:rsid w:val="4BBDA9F8"/>
    <w:rsid w:val="4C4ECCCB"/>
    <w:rsid w:val="4D1759AF"/>
    <w:rsid w:val="4DD252DA"/>
    <w:rsid w:val="4F425648"/>
    <w:rsid w:val="517C685E"/>
    <w:rsid w:val="519C5C09"/>
    <w:rsid w:val="52290889"/>
    <w:rsid w:val="5246FB68"/>
    <w:rsid w:val="524779CB"/>
    <w:rsid w:val="52C4D9EA"/>
    <w:rsid w:val="534B23BE"/>
    <w:rsid w:val="536969C5"/>
    <w:rsid w:val="55D8FB3E"/>
    <w:rsid w:val="55F452F1"/>
    <w:rsid w:val="56839E63"/>
    <w:rsid w:val="577F86E0"/>
    <w:rsid w:val="582C44DC"/>
    <w:rsid w:val="5939B06E"/>
    <w:rsid w:val="5A1B10C5"/>
    <w:rsid w:val="5D47F221"/>
    <w:rsid w:val="5DBD5386"/>
    <w:rsid w:val="5DC3E685"/>
    <w:rsid w:val="5E7F21F4"/>
    <w:rsid w:val="5EE2089E"/>
    <w:rsid w:val="5FC95D18"/>
    <w:rsid w:val="5FF5B987"/>
    <w:rsid w:val="6141E568"/>
    <w:rsid w:val="6359D584"/>
    <w:rsid w:val="643727AD"/>
    <w:rsid w:val="648191DC"/>
    <w:rsid w:val="66544E66"/>
    <w:rsid w:val="66BFA180"/>
    <w:rsid w:val="679ED838"/>
    <w:rsid w:val="67BB9893"/>
    <w:rsid w:val="685A38BD"/>
    <w:rsid w:val="68790F94"/>
    <w:rsid w:val="6907F839"/>
    <w:rsid w:val="691B7B2D"/>
    <w:rsid w:val="692B3CFA"/>
    <w:rsid w:val="69856512"/>
    <w:rsid w:val="6FECEB42"/>
    <w:rsid w:val="70E92F14"/>
    <w:rsid w:val="7126EE15"/>
    <w:rsid w:val="712E92C0"/>
    <w:rsid w:val="7305E277"/>
    <w:rsid w:val="74B2A002"/>
    <w:rsid w:val="74FA1C40"/>
    <w:rsid w:val="752D4FBB"/>
    <w:rsid w:val="7602C15D"/>
    <w:rsid w:val="763EC40C"/>
    <w:rsid w:val="77136DD8"/>
    <w:rsid w:val="774E161D"/>
    <w:rsid w:val="7757EFE0"/>
    <w:rsid w:val="777A7356"/>
    <w:rsid w:val="77F4FA90"/>
    <w:rsid w:val="78D67D79"/>
    <w:rsid w:val="78DB8665"/>
    <w:rsid w:val="791AF3AE"/>
    <w:rsid w:val="79EF2856"/>
    <w:rsid w:val="7BD304AB"/>
    <w:rsid w:val="7DA527EF"/>
    <w:rsid w:val="7E81A4FD"/>
    <w:rsid w:val="7F03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F428F"/>
  <w15:chartTrackingRefBased/>
  <w15:docId w15:val="{EE62B763-C659-4017-A3EE-6576B6EE5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23fc428eb8fd2b18168401e7730c8581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0adee02d836fec4203d8c06b15a69afc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49BFBA-1305-4CDC-AFA7-8C899A74F6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E55CB8-6B08-446D-BB92-FD64535B3CB4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3.xml><?xml version="1.0" encoding="utf-8"?>
<ds:datastoreItem xmlns:ds="http://schemas.openxmlformats.org/officeDocument/2006/customXml" ds:itemID="{7FF99FA6-F569-4867-8D8E-E95008C8C2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1025</Words>
  <Characters>5526</Characters>
  <Application>Microsoft Office Word</Application>
  <DocSecurity>0</DocSecurity>
  <Lines>178</Lines>
  <Paragraphs>69</Paragraphs>
  <ScaleCrop>false</ScaleCrop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Calvin Lees</dc:creator>
  <cp:keywords/>
  <dc:description/>
  <cp:lastModifiedBy>Wendy Ellaway-Lock</cp:lastModifiedBy>
  <cp:revision>2</cp:revision>
  <dcterms:created xsi:type="dcterms:W3CDTF">2026-03-03T11:34:00Z</dcterms:created>
  <dcterms:modified xsi:type="dcterms:W3CDTF">2026-03-03T11:34:00Z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  <property fmtid="{D5CDD505-2E9C-101B-9397-08002B2CF9AE}" pid="4" name="Project Code">
    <vt:lpwstr/>
  </property>
  <property fmtid="{D5CDD505-2E9C-101B-9397-08002B2CF9AE}" pid="5" name="Project_x0020_Code">
    <vt:lpwstr/>
  </property>
  <property fmtid="{D5CDD505-2E9C-101B-9397-08002B2CF9AE}" pid="6" name="docLang">
    <vt:lpwstr>en</vt:lpwstr>
  </property>
</Properties>
</file>